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2A" w:rsidRDefault="0072782A" w:rsidP="001F5CA8">
      <w:pPr>
        <w:spacing w:after="0" w:line="240" w:lineRule="auto"/>
        <w:jc w:val="center"/>
        <w:rPr>
          <w:b/>
        </w:rPr>
      </w:pPr>
    </w:p>
    <w:p w:rsidR="00E20BC0" w:rsidRPr="00E20BC0" w:rsidRDefault="00E20BC0" w:rsidP="001F5CA8">
      <w:pPr>
        <w:spacing w:after="0" w:line="240" w:lineRule="auto"/>
        <w:jc w:val="center"/>
        <w:rPr>
          <w:b/>
        </w:rPr>
      </w:pPr>
      <w:r w:rsidRPr="00E20BC0">
        <w:rPr>
          <w:b/>
        </w:rPr>
        <w:t>Modificarea proiectului de impozite și taxe pentru anul 2018</w:t>
      </w:r>
      <w:r w:rsidR="001F5CA8">
        <w:rPr>
          <w:b/>
        </w:rPr>
        <w:t xml:space="preserve"> </w:t>
      </w:r>
      <w:r w:rsidR="00063F36">
        <w:rPr>
          <w:b/>
        </w:rPr>
        <w:t>pentru compensarea impactului prevederilor OUG 79/10.11.2017 asupra bugetului local</w:t>
      </w:r>
    </w:p>
    <w:p w:rsidR="00E20BC0" w:rsidRDefault="00E20BC0" w:rsidP="00536856">
      <w:pPr>
        <w:spacing w:after="0" w:line="240" w:lineRule="auto"/>
        <w:ind w:firstLine="720"/>
        <w:jc w:val="both"/>
      </w:pPr>
    </w:p>
    <w:p w:rsidR="0042349B" w:rsidRDefault="0042349B" w:rsidP="00536856">
      <w:pPr>
        <w:spacing w:after="0" w:line="240" w:lineRule="auto"/>
        <w:ind w:firstLine="720"/>
        <w:jc w:val="both"/>
      </w:pPr>
      <w:r>
        <w:t xml:space="preserve">Ordonanța de Urgență nr. 79/2017 </w:t>
      </w:r>
      <w:r w:rsidR="002F4E78">
        <w:t>pentru modificarea</w:t>
      </w:r>
      <w:r>
        <w:t xml:space="preserve"> Codului Fiscal</w:t>
      </w:r>
      <w:r w:rsidR="002F4E78">
        <w:t>, publicată în Monitorul Oficia</w:t>
      </w:r>
      <w:r w:rsidR="00264730">
        <w:t>l 885/10.11.2017, prevede</w:t>
      </w:r>
      <w:r w:rsidR="002F4E78">
        <w:t xml:space="preserve"> o serie de măsuri fiscale cu aplicare de la 1 ianuarie 2018, precum:</w:t>
      </w:r>
      <w:r>
        <w:t xml:space="preserve"> </w:t>
      </w:r>
      <w:r w:rsidR="002F4E78">
        <w:t xml:space="preserve">transferul </w:t>
      </w:r>
      <w:r>
        <w:t>contributiilor de la angajator la salariat, introducerea contributiei asiguratorii pentru munca (o forma diferita pentru taxa de solidaritate), impozitul de 1% din venitul realizat pentru intreprinderile cu venit de pana intr-un milion de euro</w:t>
      </w:r>
      <w:r w:rsidR="002F4E78">
        <w:t>, dar și reducerea cotei impozitului pe venituri de la 16% la 10%</w:t>
      </w:r>
      <w:r>
        <w:t>.</w:t>
      </w:r>
    </w:p>
    <w:p w:rsidR="0072782A" w:rsidRDefault="0072782A" w:rsidP="00536856">
      <w:pPr>
        <w:spacing w:after="0" w:line="240" w:lineRule="auto"/>
        <w:ind w:firstLine="720"/>
        <w:jc w:val="both"/>
      </w:pPr>
    </w:p>
    <w:p w:rsidR="0072782A" w:rsidRPr="0072782A" w:rsidRDefault="0072782A" w:rsidP="00536856">
      <w:pPr>
        <w:spacing w:after="0" w:line="240" w:lineRule="auto"/>
        <w:ind w:firstLine="720"/>
        <w:jc w:val="both"/>
        <w:rPr>
          <w:b/>
        </w:rPr>
      </w:pPr>
      <w:r w:rsidRPr="0072782A">
        <w:rPr>
          <w:b/>
        </w:rPr>
        <w:t>Evaluare impactului OUG 79/2017 asupra bugetului local</w:t>
      </w:r>
    </w:p>
    <w:p w:rsidR="0072782A" w:rsidRDefault="0072782A" w:rsidP="00536856">
      <w:pPr>
        <w:spacing w:after="0" w:line="240" w:lineRule="auto"/>
        <w:ind w:firstLine="720"/>
        <w:jc w:val="both"/>
      </w:pPr>
    </w:p>
    <w:p w:rsidR="009C3FE7" w:rsidRDefault="00264730" w:rsidP="00536856">
      <w:pPr>
        <w:spacing w:after="0" w:line="240" w:lineRule="auto"/>
        <w:ind w:firstLine="720"/>
        <w:jc w:val="both"/>
      </w:pPr>
      <w:r>
        <w:t>Pentru a comensura impactul asupra bugetului local al ultimei măsuri enumerate, precizăm că l</w:t>
      </w:r>
      <w:r w:rsidR="009C3FE7">
        <w:t>a nivelul anului 2017, veniturile proprii estimate ale Municipiului Oradea sunt de 70 mil euro, din care categoria de venit – Cote defalcate din IVG reprezintă 39 milioane euro, adică peste 55% din total venituri proprii.</w:t>
      </w:r>
    </w:p>
    <w:p w:rsidR="002F4E78" w:rsidRDefault="002F4E78" w:rsidP="00536856">
      <w:pPr>
        <w:spacing w:after="0" w:line="240" w:lineRule="auto"/>
        <w:jc w:val="center"/>
      </w:pPr>
      <w:r>
        <w:rPr>
          <w:noProof/>
          <w:lang w:eastAsia="ro-RO"/>
        </w:rPr>
        <w:drawing>
          <wp:inline distT="0" distB="0" distL="0" distR="0">
            <wp:extent cx="5048250" cy="27813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C3FE7" w:rsidRDefault="00264730" w:rsidP="00536856">
      <w:pPr>
        <w:spacing w:after="0" w:line="240" w:lineRule="auto"/>
        <w:ind w:firstLine="720"/>
        <w:jc w:val="both"/>
      </w:pPr>
      <w:r>
        <w:t xml:space="preserve">Bazându-ne pe </w:t>
      </w:r>
      <w:r w:rsidR="002F4E78">
        <w:t xml:space="preserve">cresterea </w:t>
      </w:r>
      <w:r>
        <w:t xml:space="preserve">medie </w:t>
      </w:r>
      <w:r w:rsidR="002F4E78">
        <w:t>anuala a acestui</w:t>
      </w:r>
      <w:r w:rsidR="009C3FE7">
        <w:t xml:space="preserve"> venit</w:t>
      </w:r>
      <w:r w:rsidR="002F4E78">
        <w:t xml:space="preserve">, </w:t>
      </w:r>
      <w:r w:rsidR="002F4E78" w:rsidRPr="0072782A">
        <w:rPr>
          <w:u w:val="single"/>
        </w:rPr>
        <w:t xml:space="preserve">in conditiile </w:t>
      </w:r>
      <w:r w:rsidR="0072782A">
        <w:rPr>
          <w:u w:val="single"/>
        </w:rPr>
        <w:t>păstrării reglementărilor legislative</w:t>
      </w:r>
      <w:r w:rsidRPr="0072782A">
        <w:rPr>
          <w:u w:val="single"/>
        </w:rPr>
        <w:t xml:space="preserve"> </w:t>
      </w:r>
      <w:r w:rsidR="0072782A">
        <w:rPr>
          <w:u w:val="single"/>
        </w:rPr>
        <w:t>aplicabile în 2017</w:t>
      </w:r>
      <w:r w:rsidR="009C3FE7">
        <w:t xml:space="preserve">, încasările </w:t>
      </w:r>
      <w:r>
        <w:t xml:space="preserve">din cote defalcate din IVG </w:t>
      </w:r>
      <w:r w:rsidR="009C3FE7">
        <w:t xml:space="preserve">în anul </w:t>
      </w:r>
      <w:r>
        <w:t>2018</w:t>
      </w:r>
      <w:r w:rsidR="009C3FE7">
        <w:t xml:space="preserve"> sunt estimate la 43 mil euro, cu </w:t>
      </w:r>
      <w:r w:rsidR="002F4E78">
        <w:t xml:space="preserve">4 milioane de euro in plus fata de </w:t>
      </w:r>
      <w:r w:rsidR="009C3FE7">
        <w:t xml:space="preserve">anul curent. </w:t>
      </w:r>
    </w:p>
    <w:p w:rsidR="009C3FE7" w:rsidRDefault="00B65456" w:rsidP="00536856">
      <w:pPr>
        <w:spacing w:after="0" w:line="240" w:lineRule="auto"/>
        <w:ind w:firstLine="720"/>
        <w:jc w:val="both"/>
      </w:pPr>
      <w:r>
        <w:t>Aplicarea OUG 79/2017, prin r</w:t>
      </w:r>
      <w:r w:rsidR="009C3FE7">
        <w:t xml:space="preserve">educerea cotei de impzitare de la 16% la 10% </w:t>
      </w:r>
      <w:r>
        <w:t xml:space="preserve">și transferul contribuțiilor de la angajator la angajat </w:t>
      </w:r>
      <w:r w:rsidR="009C3FE7">
        <w:t xml:space="preserve">va conduce la scăderea încasărilor din impozitul de venit la nivelul bugetului local </w:t>
      </w:r>
      <w:r>
        <w:t>până la 27</w:t>
      </w:r>
      <w:r w:rsidR="009C3FE7">
        <w:t>,</w:t>
      </w:r>
      <w:r>
        <w:t>5</w:t>
      </w:r>
      <w:r w:rsidR="009C3FE7">
        <w:t xml:space="preserve"> mil euro, față de 43 mil euro estimate înainte de modificarea legislativă</w:t>
      </w:r>
      <w:r w:rsidR="00DE11DC">
        <w:t xml:space="preserve">, adică </w:t>
      </w:r>
      <w:r w:rsidR="00DE11DC" w:rsidRPr="00B65456">
        <w:rPr>
          <w:b/>
        </w:rPr>
        <w:t>1</w:t>
      </w:r>
      <w:r w:rsidRPr="00B65456">
        <w:rPr>
          <w:b/>
        </w:rPr>
        <w:t>5,5</w:t>
      </w:r>
      <w:r w:rsidR="00DE11DC" w:rsidRPr="00B65456">
        <w:rPr>
          <w:b/>
        </w:rPr>
        <w:t xml:space="preserve"> mil euro mai puțin</w:t>
      </w:r>
      <w:r w:rsidR="00DE11DC">
        <w:t xml:space="preserve"> </w:t>
      </w:r>
      <w:r>
        <w:t xml:space="preserve">(43 – 27,5 = 15,5) </w:t>
      </w:r>
      <w:r w:rsidR="00DE11DC">
        <w:t>(2</w:t>
      </w:r>
      <w:r>
        <w:t>2</w:t>
      </w:r>
      <w:r w:rsidR="00DE11DC">
        <w:t>% din veniturile proprii ale municipiului)</w:t>
      </w:r>
      <w:r w:rsidR="009C3FE7">
        <w:t>.</w:t>
      </w:r>
      <w:r w:rsidR="004C79F3">
        <w:t xml:space="preserve"> </w:t>
      </w:r>
      <w:r w:rsidR="004C79F3" w:rsidRPr="004C79F3">
        <w:rPr>
          <w:u w:val="single"/>
        </w:rPr>
        <w:t>Suma reprezintă nivelul bugetului de investiții din surse proprii din anii anteriori.</w:t>
      </w:r>
    </w:p>
    <w:p w:rsidR="0072782A" w:rsidRDefault="0072782A" w:rsidP="00536856">
      <w:pPr>
        <w:spacing w:after="0" w:line="240" w:lineRule="auto"/>
        <w:ind w:firstLine="720"/>
        <w:jc w:val="both"/>
      </w:pPr>
    </w:p>
    <w:p w:rsidR="0072782A" w:rsidRPr="0072782A" w:rsidRDefault="0072782A" w:rsidP="00536856">
      <w:pPr>
        <w:spacing w:after="0" w:line="240" w:lineRule="auto"/>
        <w:ind w:firstLine="720"/>
        <w:jc w:val="both"/>
        <w:rPr>
          <w:b/>
        </w:rPr>
      </w:pPr>
      <w:r w:rsidRPr="0072782A">
        <w:rPr>
          <w:b/>
        </w:rPr>
        <w:t>Formula de compensare promisă de Guvernul României</w:t>
      </w:r>
    </w:p>
    <w:p w:rsidR="0072782A" w:rsidRDefault="0072782A" w:rsidP="00536856">
      <w:pPr>
        <w:spacing w:after="0" w:line="240" w:lineRule="auto"/>
        <w:ind w:firstLine="720"/>
        <w:jc w:val="both"/>
      </w:pPr>
    </w:p>
    <w:p w:rsidR="00DE11DC" w:rsidRDefault="00DE11DC" w:rsidP="00536856">
      <w:pPr>
        <w:spacing w:after="0" w:line="240" w:lineRule="auto"/>
        <w:ind w:firstLine="720"/>
        <w:jc w:val="both"/>
      </w:pPr>
      <w:r>
        <w:t>În cadrul discuțiilor purtate de membrii Asociației Municipiilor din România cu reprezentanții Guvernului, formula propusa</w:t>
      </w:r>
      <w:r w:rsidR="002407FB">
        <w:t xml:space="preserve">, dar </w:t>
      </w:r>
      <w:r w:rsidR="002407FB" w:rsidRPr="004C79F3">
        <w:rPr>
          <w:u w:val="single"/>
        </w:rPr>
        <w:t>neadoptată până la data prezentului material</w:t>
      </w:r>
      <w:r w:rsidR="002407FB">
        <w:t>,</w:t>
      </w:r>
      <w:r>
        <w:t xml:space="preserve"> pentru a mai atenua aceasta reducere drastică a resurselor proprii a autoritatilor locale este aceea de:</w:t>
      </w:r>
    </w:p>
    <w:p w:rsidR="00DE11DC" w:rsidRDefault="00264730" w:rsidP="0053685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A m</w:t>
      </w:r>
      <w:r w:rsidR="00DE11DC">
        <w:t>ajora cota din IVG cuvenită autorităților locale de la 41,75% la 43%</w:t>
      </w:r>
    </w:p>
    <w:p w:rsidR="00DE11DC" w:rsidRDefault="00DE11DC" w:rsidP="00536856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 xml:space="preserve">A compensa veniturile fiecărei autorități publice locale pana la nivelul impozitului pe venit incasat in 2017, suma in compensare diminuandu-se cu jumătate din excedentul la 31.12.2016. </w:t>
      </w:r>
    </w:p>
    <w:p w:rsidR="00DE11DC" w:rsidRDefault="00DE11DC" w:rsidP="00536856">
      <w:pPr>
        <w:spacing w:after="0" w:line="240" w:lineRule="auto"/>
        <w:ind w:firstLine="720"/>
        <w:jc w:val="both"/>
      </w:pPr>
      <w:r>
        <w:t xml:space="preserve">Concret, în cazul Municipiului Oradea, formula de compensare propusă </w:t>
      </w:r>
      <w:r w:rsidR="002407FB">
        <w:t xml:space="preserve">va </w:t>
      </w:r>
      <w:r>
        <w:t>atenu</w:t>
      </w:r>
      <w:r w:rsidR="002407FB">
        <w:t>a</w:t>
      </w:r>
      <w:r>
        <w:t xml:space="preserve"> </w:t>
      </w:r>
      <w:r w:rsidR="002407FB">
        <w:t xml:space="preserve">într-o mică măsură </w:t>
      </w:r>
      <w:r>
        <w:t>pierderea resurse</w:t>
      </w:r>
      <w:r w:rsidR="00264730">
        <w:t>lor</w:t>
      </w:r>
      <w:r w:rsidR="00B65456">
        <w:t xml:space="preserve"> locale, de la 15,5</w:t>
      </w:r>
      <w:r>
        <w:t xml:space="preserve"> mil euro la </w:t>
      </w:r>
      <w:r w:rsidRPr="00B65456">
        <w:t>9,</w:t>
      </w:r>
      <w:r w:rsidR="002407FB" w:rsidRPr="00B65456">
        <w:t>2</w:t>
      </w:r>
      <w:r w:rsidRPr="00B65456">
        <w:t>5 mil euro</w:t>
      </w:r>
      <w:r w:rsidR="00B65456">
        <w:rPr>
          <w:b/>
        </w:rPr>
        <w:t xml:space="preserve"> </w:t>
      </w:r>
      <w:r>
        <w:t>(</w:t>
      </w:r>
      <w:r w:rsidR="002407FB">
        <w:t xml:space="preserve">IVG 2017 – IVG 2018 – excedent 2016 : 2, adică </w:t>
      </w:r>
      <w:r>
        <w:t>39 – 2</w:t>
      </w:r>
      <w:r w:rsidR="00B65456">
        <w:t>7,5</w:t>
      </w:r>
      <w:r>
        <w:t xml:space="preserve"> – 10,5:2</w:t>
      </w:r>
      <w:r w:rsidR="00B65456">
        <w:t xml:space="preserve"> = 6,25</w:t>
      </w:r>
      <w:r>
        <w:t>)</w:t>
      </w:r>
      <w:r w:rsidR="002407FB">
        <w:t>.</w:t>
      </w:r>
      <w:r w:rsidR="00B65456">
        <w:t xml:space="preserve"> </w:t>
      </w:r>
      <w:r w:rsidR="00B65456" w:rsidRPr="00B65456">
        <w:rPr>
          <w:b/>
        </w:rPr>
        <w:t>Suma necompensată de 9,25 mil euro</w:t>
      </w:r>
      <w:r w:rsidR="00B65456">
        <w:t xml:space="preserve"> reprezintă 13% din veniturile proprii si aproape 60% din bugetul de investiții din surse proprii.</w:t>
      </w:r>
    </w:p>
    <w:p w:rsidR="0072782A" w:rsidRDefault="0072782A" w:rsidP="00536856">
      <w:pPr>
        <w:spacing w:after="0" w:line="240" w:lineRule="auto"/>
        <w:ind w:firstLine="720"/>
        <w:jc w:val="both"/>
      </w:pPr>
    </w:p>
    <w:p w:rsidR="0072782A" w:rsidRPr="004C79F3" w:rsidRDefault="0072782A" w:rsidP="00536856">
      <w:pPr>
        <w:spacing w:after="0" w:line="240" w:lineRule="auto"/>
        <w:ind w:firstLine="720"/>
        <w:jc w:val="both"/>
        <w:rPr>
          <w:b/>
        </w:rPr>
      </w:pPr>
      <w:r w:rsidRPr="004C79F3">
        <w:rPr>
          <w:b/>
        </w:rPr>
        <w:t>Soluții locale de compensare a pierderii resurselor bugetare</w:t>
      </w:r>
    </w:p>
    <w:p w:rsidR="0072782A" w:rsidRDefault="0072782A" w:rsidP="00536856">
      <w:pPr>
        <w:spacing w:after="0" w:line="240" w:lineRule="auto"/>
        <w:ind w:firstLine="720"/>
        <w:jc w:val="both"/>
      </w:pPr>
    </w:p>
    <w:p w:rsidR="0038361E" w:rsidRPr="0038361E" w:rsidRDefault="002407FB" w:rsidP="00536856">
      <w:pPr>
        <w:spacing w:after="0" w:line="240" w:lineRule="auto"/>
        <w:ind w:firstLine="720"/>
        <w:jc w:val="both"/>
      </w:pPr>
      <w:r w:rsidRPr="0038361E">
        <w:t xml:space="preserve">Ținând cont de reducerile operate în anii anteriori </w:t>
      </w:r>
      <w:r w:rsidR="0038361E" w:rsidRPr="0038361E">
        <w:t xml:space="preserve">la nivelul </w:t>
      </w:r>
      <w:r w:rsidRPr="0038361E">
        <w:t>alocărilor secțiunii de funcționare</w:t>
      </w:r>
      <w:r w:rsidR="0038361E" w:rsidRPr="0038361E">
        <w:t>, impactul bugetar al măsurilor adoptate va afecta</w:t>
      </w:r>
      <w:r w:rsidR="00CB6FDE">
        <w:t>,</w:t>
      </w:r>
      <w:bookmarkStart w:id="0" w:name="_GoBack"/>
      <w:bookmarkEnd w:id="0"/>
      <w:r w:rsidRPr="0038361E">
        <w:t xml:space="preserve"> </w:t>
      </w:r>
      <w:r w:rsidR="0038361E" w:rsidRPr="0038361E">
        <w:t>î</w:t>
      </w:r>
      <w:r w:rsidRPr="002407FB">
        <w:t>n principal, bugetul de investiții din surse proprii.</w:t>
      </w:r>
    </w:p>
    <w:p w:rsidR="00F47232" w:rsidRDefault="0038361E" w:rsidP="00536856">
      <w:pPr>
        <w:spacing w:after="0" w:line="240" w:lineRule="auto"/>
        <w:ind w:firstLine="720"/>
        <w:jc w:val="both"/>
      </w:pPr>
      <w:r>
        <w:t>Î</w:t>
      </w:r>
      <w:r w:rsidR="00536856">
        <w:t xml:space="preserve">n contextul prezentat, </w:t>
      </w:r>
      <w:r w:rsidR="00264730">
        <w:t>Primăria Oradea este nevoită</w:t>
      </w:r>
      <w:r w:rsidR="00536856">
        <w:t xml:space="preserve"> să adopte măsuri </w:t>
      </w:r>
      <w:r w:rsidR="003B1F25">
        <w:t>pentru a compensa parțial deficitul</w:t>
      </w:r>
      <w:r w:rsidR="00536856">
        <w:t xml:space="preserve"> </w:t>
      </w:r>
      <w:r w:rsidR="002407FB" w:rsidRPr="002407FB">
        <w:t>bugetului de investiții</w:t>
      </w:r>
      <w:r w:rsidR="00264730">
        <w:t>,</w:t>
      </w:r>
      <w:r w:rsidR="00256740">
        <w:t xml:space="preserve"> în așa fel încât să po</w:t>
      </w:r>
      <w:r w:rsidR="00536856">
        <w:t>a</w:t>
      </w:r>
      <w:r w:rsidR="00256740">
        <w:t>tă fi asigurată cofinanțarea proiectelor europene câștigate.</w:t>
      </w:r>
      <w:r w:rsidR="00536856">
        <w:t xml:space="preserve"> </w:t>
      </w:r>
      <w:r w:rsidR="00501B70">
        <w:t>De asemenea</w:t>
      </w:r>
      <w:r w:rsidR="00CB6FDE">
        <w:t>,</w:t>
      </w:r>
      <w:r w:rsidR="00536856">
        <w:t xml:space="preserve"> investiții</w:t>
      </w:r>
      <w:r w:rsidR="00501B70">
        <w:t>le</w:t>
      </w:r>
      <w:r w:rsidR="00536856">
        <w:t xml:space="preserve"> </w:t>
      </w:r>
      <w:r w:rsidR="00BA388D">
        <w:t>ce sunt în derulare</w:t>
      </w:r>
      <w:r w:rsidR="00CB6FDE">
        <w:t>,</w:t>
      </w:r>
      <w:r w:rsidR="00BA388D">
        <w:t xml:space="preserve"> susținute din fonduri proprii</w:t>
      </w:r>
      <w:r w:rsidR="00CB6FDE">
        <w:t>,</w:t>
      </w:r>
      <w:r w:rsidR="00BA388D">
        <w:t xml:space="preserve"> </w:t>
      </w:r>
      <w:r w:rsidR="00536856">
        <w:t>tr</w:t>
      </w:r>
      <w:r w:rsidR="00BA388D">
        <w:t>ebuie</w:t>
      </w:r>
      <w:r w:rsidR="00536856">
        <w:t xml:space="preserve"> finalizate. </w:t>
      </w:r>
      <w:r w:rsidR="009879DC">
        <w:t xml:space="preserve">Fără realizarea unor investiții publice </w:t>
      </w:r>
      <w:r w:rsidR="00582036">
        <w:t>care să susțină</w:t>
      </w:r>
      <w:r w:rsidR="006F4D60">
        <w:t xml:space="preserve"> dezvoltare</w:t>
      </w:r>
      <w:r w:rsidR="00582036">
        <w:t xml:space="preserve">a, ritmul de creștere al orașului ar scădea semnificativ. </w:t>
      </w:r>
    </w:p>
    <w:p w:rsidR="002407FB" w:rsidRPr="002407FB" w:rsidRDefault="00536856" w:rsidP="00536856">
      <w:pPr>
        <w:spacing w:after="0" w:line="240" w:lineRule="auto"/>
        <w:ind w:firstLine="720"/>
        <w:jc w:val="both"/>
      </w:pPr>
      <w:r>
        <w:t>Măsurile locale posibil de adoptat cuprind:</w:t>
      </w:r>
    </w:p>
    <w:p w:rsidR="002407FB" w:rsidRPr="002407FB" w:rsidRDefault="002407FB" w:rsidP="00536856">
      <w:pPr>
        <w:spacing w:after="0" w:line="240" w:lineRule="auto"/>
        <w:ind w:firstLine="720"/>
        <w:jc w:val="both"/>
      </w:pPr>
      <w:r w:rsidRPr="002407FB">
        <w:t xml:space="preserve">- </w:t>
      </w:r>
      <w:r w:rsidR="00536856">
        <w:t>cote adiționale ale</w:t>
      </w:r>
      <w:r w:rsidRPr="002407FB">
        <w:t xml:space="preserve"> </w:t>
      </w:r>
      <w:r w:rsidR="00536856">
        <w:t xml:space="preserve">impozitelor și </w:t>
      </w:r>
      <w:r w:rsidRPr="002407FB">
        <w:t xml:space="preserve">taxelor locale </w:t>
      </w:r>
      <w:r w:rsidR="00536856">
        <w:t>în limita prevăzută de art.489 a Codului Fiscal de 50</w:t>
      </w:r>
      <w:r w:rsidRPr="002407FB">
        <w:t>%</w:t>
      </w:r>
    </w:p>
    <w:p w:rsidR="002407FB" w:rsidRPr="002407FB" w:rsidRDefault="002407FB" w:rsidP="00536856">
      <w:pPr>
        <w:spacing w:after="0" w:line="240" w:lineRule="auto"/>
        <w:ind w:firstLine="720"/>
        <w:jc w:val="both"/>
      </w:pPr>
      <w:r w:rsidRPr="002407FB">
        <w:t>- reducerea subvențiilor operaționale acordate operatorilor de servicii publice</w:t>
      </w:r>
    </w:p>
    <w:p w:rsidR="002407FB" w:rsidRPr="002407FB" w:rsidRDefault="002407FB" w:rsidP="00536856">
      <w:pPr>
        <w:spacing w:after="0" w:line="240" w:lineRule="auto"/>
        <w:ind w:firstLine="720"/>
        <w:jc w:val="both"/>
      </w:pPr>
      <w:r w:rsidRPr="002407FB">
        <w:t>- scăderea cheltuieli</w:t>
      </w:r>
      <w:r w:rsidR="00264730">
        <w:t>lor</w:t>
      </w:r>
      <w:r w:rsidR="00536856">
        <w:t xml:space="preserve"> operaționale.</w:t>
      </w:r>
    </w:p>
    <w:p w:rsidR="00E20BC0" w:rsidRDefault="00E20BC0" w:rsidP="00536856">
      <w:pPr>
        <w:pStyle w:val="NormalWeb"/>
        <w:spacing w:before="0" w:beforeAutospacing="0" w:after="0" w:afterAutospacing="0"/>
        <w:ind w:firstLine="720"/>
        <w:jc w:val="both"/>
      </w:pPr>
    </w:p>
    <w:p w:rsidR="002407FB" w:rsidRDefault="002407FB" w:rsidP="001F5CA8">
      <w:pPr>
        <w:spacing w:after="0" w:line="240" w:lineRule="auto"/>
        <w:ind w:firstLine="720"/>
        <w:jc w:val="both"/>
      </w:pPr>
      <w:r>
        <w:t>În prezent, proiectul Hotărârii privind taxele şi impozitele locale pentru 2018 se află în dezbatere publică.</w:t>
      </w:r>
      <w:r w:rsidR="00536856">
        <w:t xml:space="preserve"> </w:t>
      </w:r>
    </w:p>
    <w:p w:rsidR="00536856" w:rsidRDefault="00536856" w:rsidP="001F5CA8">
      <w:pPr>
        <w:spacing w:after="0" w:line="240" w:lineRule="auto"/>
        <w:ind w:firstLine="720"/>
        <w:jc w:val="both"/>
      </w:pPr>
      <w:r>
        <w:t>Propunerea Executivul</w:t>
      </w:r>
      <w:r w:rsidR="00264730">
        <w:t>ui</w:t>
      </w:r>
      <w:r>
        <w:t xml:space="preserve"> Local este de majorare a </w:t>
      </w:r>
      <w:r w:rsidR="00264730">
        <w:t>unor</w:t>
      </w:r>
      <w:r>
        <w:t xml:space="preserve"> categorii de impozite locale  pentru a compensa </w:t>
      </w:r>
      <w:r w:rsidR="002407FB">
        <w:t>o par</w:t>
      </w:r>
      <w:r>
        <w:t>te din pierderile pe care le va</w:t>
      </w:r>
      <w:r w:rsidR="002407FB">
        <w:t xml:space="preserve"> suferi </w:t>
      </w:r>
      <w:r>
        <w:t xml:space="preserve">bugetul local </w:t>
      </w:r>
      <w:r w:rsidR="00264730">
        <w:t>urmare a</w:t>
      </w:r>
      <w:r w:rsidR="002407FB">
        <w:t xml:space="preserve"> </w:t>
      </w:r>
      <w:r>
        <w:t xml:space="preserve">modificărilor operate de Guvern asupra </w:t>
      </w:r>
      <w:r w:rsidR="002407FB">
        <w:t>impozitului pe venitul global</w:t>
      </w:r>
      <w:r>
        <w:t>.</w:t>
      </w:r>
    </w:p>
    <w:p w:rsidR="002407FB" w:rsidRDefault="002407FB" w:rsidP="00536856">
      <w:pPr>
        <w:spacing w:after="0" w:line="240" w:lineRule="auto"/>
        <w:ind w:firstLine="720"/>
        <w:jc w:val="both"/>
      </w:pPr>
    </w:p>
    <w:p w:rsidR="00C430D4" w:rsidRDefault="00C430D4" w:rsidP="00536856">
      <w:pPr>
        <w:spacing w:after="0" w:line="240" w:lineRule="auto"/>
        <w:ind w:firstLine="720"/>
        <w:jc w:val="both"/>
        <w:rPr>
          <w:b/>
        </w:rPr>
      </w:pPr>
      <w:r w:rsidRPr="00C430D4">
        <w:rPr>
          <w:b/>
        </w:rPr>
        <w:tab/>
      </w:r>
      <w:r w:rsidRPr="00C430D4">
        <w:rPr>
          <w:b/>
        </w:rPr>
        <w:tab/>
      </w:r>
      <w:r w:rsidRPr="00C430D4">
        <w:rPr>
          <w:b/>
        </w:rPr>
        <w:tab/>
      </w:r>
      <w:r w:rsidRPr="00C430D4">
        <w:rPr>
          <w:b/>
        </w:rPr>
        <w:tab/>
      </w:r>
      <w:r w:rsidRPr="00C430D4">
        <w:rPr>
          <w:b/>
        </w:rPr>
        <w:tab/>
        <w:t>Cod Fiscal</w:t>
      </w:r>
      <w:r w:rsidRPr="00C430D4">
        <w:rPr>
          <w:b/>
        </w:rPr>
        <w:tab/>
      </w:r>
      <w:r w:rsidRPr="00C430D4">
        <w:rPr>
          <w:b/>
        </w:rPr>
        <w:tab/>
        <w:t>2017</w:t>
      </w:r>
      <w:r w:rsidRPr="00C430D4">
        <w:rPr>
          <w:b/>
        </w:rPr>
        <w:tab/>
      </w:r>
      <w:r w:rsidRPr="00C430D4">
        <w:rPr>
          <w:b/>
        </w:rPr>
        <w:tab/>
        <w:t>2018</w:t>
      </w:r>
    </w:p>
    <w:p w:rsidR="00C430D4" w:rsidRPr="00C430D4" w:rsidRDefault="00C430D4" w:rsidP="00536856">
      <w:pPr>
        <w:spacing w:after="0" w:line="240" w:lineRule="auto"/>
        <w:ind w:firstLine="720"/>
        <w:jc w:val="both"/>
        <w:rPr>
          <w:b/>
        </w:rPr>
      </w:pPr>
    </w:p>
    <w:p w:rsidR="00C430D4" w:rsidRDefault="00C430D4" w:rsidP="00C430D4">
      <w:pPr>
        <w:spacing w:after="0" w:line="240" w:lineRule="auto"/>
      </w:pPr>
      <w:r w:rsidRPr="00C838E3">
        <w:t xml:space="preserve">- </w:t>
      </w:r>
      <w:r w:rsidRPr="00C838E3">
        <w:rPr>
          <w:b/>
        </w:rPr>
        <w:t>Bonificația fiscală</w:t>
      </w:r>
      <w:r>
        <w:t>:</w:t>
      </w:r>
      <w:r>
        <w:tab/>
        <w:t>persoane fizice</w:t>
      </w:r>
      <w:r>
        <w:tab/>
      </w:r>
      <w:r>
        <w:tab/>
        <w:t>maxim 10%</w:t>
      </w:r>
      <w:r>
        <w:tab/>
      </w:r>
      <w:r>
        <w:tab/>
        <w:t>10%</w:t>
      </w:r>
      <w:r>
        <w:tab/>
      </w:r>
      <w:r>
        <w:tab/>
        <w:t>5%</w:t>
      </w:r>
    </w:p>
    <w:p w:rsidR="00C430D4" w:rsidRDefault="00C430D4" w:rsidP="00C430D4">
      <w:pPr>
        <w:spacing w:after="0" w:line="240" w:lineRule="auto"/>
        <w:ind w:left="720" w:firstLine="720"/>
      </w:pPr>
      <w:r>
        <w:tab/>
        <w:t>persoane juridice</w:t>
      </w:r>
      <w:r>
        <w:tab/>
        <w:t>maxim 10%</w:t>
      </w:r>
      <w:r>
        <w:tab/>
      </w:r>
      <w:r>
        <w:tab/>
        <w:t>5%</w:t>
      </w:r>
      <w:r>
        <w:tab/>
      </w:r>
      <w:r>
        <w:tab/>
      </w:r>
      <w:r w:rsidR="00134305">
        <w:t>5%</w:t>
      </w:r>
    </w:p>
    <w:p w:rsidR="00C430D4" w:rsidRDefault="00C430D4" w:rsidP="00C430D4">
      <w:pPr>
        <w:spacing w:after="0" w:line="240" w:lineRule="auto"/>
        <w:jc w:val="both"/>
        <w:rPr>
          <w:b/>
        </w:rPr>
      </w:pPr>
    </w:p>
    <w:p w:rsidR="00C430D4" w:rsidRDefault="00C430D4" w:rsidP="00C430D4">
      <w:pPr>
        <w:spacing w:after="0" w:line="240" w:lineRule="auto"/>
        <w:jc w:val="both"/>
        <w:rPr>
          <w:b/>
        </w:rPr>
      </w:pPr>
      <w:r>
        <w:rPr>
          <w:b/>
        </w:rPr>
        <w:t>Impozitul pe clădiri:</w:t>
      </w:r>
    </w:p>
    <w:p w:rsidR="00C430D4" w:rsidRDefault="00C430D4" w:rsidP="00C430D4">
      <w:pPr>
        <w:spacing w:after="0" w:line="240" w:lineRule="auto"/>
        <w:jc w:val="both"/>
        <w:rPr>
          <w:b/>
          <w:bCs/>
        </w:rPr>
      </w:pPr>
    </w:p>
    <w:p w:rsidR="00C430D4" w:rsidRDefault="00C430D4" w:rsidP="00C430D4">
      <w:pPr>
        <w:spacing w:after="0" w:line="240" w:lineRule="auto"/>
        <w:jc w:val="both"/>
      </w:pPr>
      <w:r>
        <w:rPr>
          <w:b/>
          <w:bCs/>
        </w:rPr>
        <w:t>Clădiri rezidențiale (de locuit):</w:t>
      </w:r>
    </w:p>
    <w:p w:rsidR="00C430D4" w:rsidRDefault="00C430D4" w:rsidP="00C430D4">
      <w:pPr>
        <w:spacing w:after="0" w:line="240" w:lineRule="auto"/>
        <w:jc w:val="both"/>
      </w:pPr>
      <w:r>
        <w:t>Persoane fizice</w:t>
      </w:r>
      <w:r>
        <w:tab/>
      </w:r>
      <w:r>
        <w:tab/>
      </w:r>
      <w:r>
        <w:tab/>
      </w:r>
      <w:r>
        <w:tab/>
      </w:r>
      <w:r>
        <w:tab/>
        <w:t xml:space="preserve">0,08% – 0,2% </w:t>
      </w:r>
      <w:r>
        <w:tab/>
      </w:r>
      <w:r>
        <w:tab/>
        <w:t>0,1%</w:t>
      </w:r>
      <w:r>
        <w:tab/>
      </w:r>
      <w:r>
        <w:tab/>
        <w:t>0,12% (+20%)</w:t>
      </w:r>
    </w:p>
    <w:p w:rsidR="00C430D4" w:rsidRDefault="00C430D4" w:rsidP="00C430D4">
      <w:pPr>
        <w:spacing w:after="0" w:line="240" w:lineRule="auto"/>
        <w:jc w:val="both"/>
        <w:rPr>
          <w:b/>
          <w:bCs/>
        </w:rPr>
      </w:pPr>
    </w:p>
    <w:p w:rsidR="00C430D4" w:rsidRDefault="00C430D4" w:rsidP="00C430D4">
      <w:pPr>
        <w:spacing w:after="0" w:line="240" w:lineRule="auto"/>
        <w:jc w:val="both"/>
      </w:pPr>
      <w:r>
        <w:rPr>
          <w:b/>
          <w:bCs/>
        </w:rPr>
        <w:t>Clădiri nerezidențiale (pentru afaceri):</w:t>
      </w:r>
    </w:p>
    <w:p w:rsidR="00C430D4" w:rsidRDefault="00C430D4" w:rsidP="00C430D4">
      <w:pPr>
        <w:spacing w:after="0" w:line="240" w:lineRule="auto"/>
        <w:jc w:val="both"/>
      </w:pPr>
      <w:r>
        <w:t>Persoane juridice</w:t>
      </w:r>
      <w:r>
        <w:tab/>
      </w:r>
      <w:r>
        <w:tab/>
      </w:r>
      <w:r>
        <w:tab/>
      </w:r>
      <w:r>
        <w:tab/>
        <w:t>0,2% – 1,3%</w:t>
      </w:r>
      <w:r>
        <w:tab/>
      </w:r>
      <w:r>
        <w:tab/>
        <w:t>0,95%</w:t>
      </w:r>
      <w:r>
        <w:tab/>
      </w:r>
      <w:r>
        <w:tab/>
        <w:t>1,15% (</w:t>
      </w:r>
      <w:r w:rsidR="002A6170">
        <w:t>+21</w:t>
      </w:r>
      <w:r>
        <w:t>%)</w:t>
      </w:r>
    </w:p>
    <w:p w:rsidR="00C430D4" w:rsidRDefault="00C430D4" w:rsidP="00C430D4">
      <w:pPr>
        <w:spacing w:after="0" w:line="240" w:lineRule="auto"/>
        <w:jc w:val="both"/>
      </w:pPr>
      <w:r>
        <w:t>Persoane fizice</w:t>
      </w:r>
      <w:r>
        <w:tab/>
        <w:t xml:space="preserve">- </w:t>
      </w:r>
      <w:r w:rsidR="0072782A">
        <w:tab/>
      </w:r>
      <w:r w:rsidR="0072782A">
        <w:tab/>
      </w:r>
      <w:r w:rsidR="0072782A">
        <w:tab/>
      </w:r>
      <w:r>
        <w:tab/>
        <w:t>0,2% – 1,3%</w:t>
      </w:r>
      <w:r>
        <w:tab/>
      </w:r>
      <w:r>
        <w:tab/>
        <w:t>0,6%</w:t>
      </w:r>
      <w:r>
        <w:tab/>
      </w:r>
      <w:r>
        <w:tab/>
        <w:t xml:space="preserve">0,7% </w:t>
      </w:r>
      <w:r w:rsidR="002A6170">
        <w:t>(+16%)</w:t>
      </w:r>
    </w:p>
    <w:p w:rsidR="00C430D4" w:rsidRDefault="00C430D4" w:rsidP="00C430D4">
      <w:pPr>
        <w:spacing w:after="0" w:line="240" w:lineRule="auto"/>
        <w:jc w:val="both"/>
      </w:pPr>
      <w:r>
        <w:tab/>
      </w:r>
      <w:r>
        <w:tab/>
      </w:r>
    </w:p>
    <w:p w:rsidR="00521A3C" w:rsidRPr="00521A3C" w:rsidRDefault="00521A3C" w:rsidP="00521A3C">
      <w:pPr>
        <w:spacing w:after="0" w:line="240" w:lineRule="auto"/>
        <w:jc w:val="both"/>
      </w:pPr>
      <w:r w:rsidRPr="0072782A">
        <w:rPr>
          <w:b/>
        </w:rPr>
        <w:t>Rezidenții parcurilor industriale</w:t>
      </w:r>
      <w:r w:rsidRPr="00521A3C">
        <w:t xml:space="preserve"> din Municipiul Oradea:</w:t>
      </w:r>
    </w:p>
    <w:p w:rsidR="0072782A" w:rsidRDefault="00521A3C" w:rsidP="0072782A">
      <w:pPr>
        <w:spacing w:after="0" w:line="240" w:lineRule="auto"/>
        <w:ind w:left="4320" w:hanging="3600"/>
        <w:jc w:val="both"/>
      </w:pPr>
      <w:r>
        <w:t>Impozit pe clădire</w:t>
      </w:r>
      <w:r>
        <w:tab/>
        <w:t>2017: gratuitate</w:t>
      </w:r>
      <w:r>
        <w:tab/>
        <w:t xml:space="preserve">2018: reducere </w:t>
      </w:r>
      <w:r w:rsidR="00264730">
        <w:t xml:space="preserve">de </w:t>
      </w:r>
      <w:r>
        <w:t xml:space="preserve">50% față </w:t>
      </w:r>
    </w:p>
    <w:p w:rsidR="00521A3C" w:rsidRDefault="0072782A" w:rsidP="0072782A">
      <w:pPr>
        <w:spacing w:after="0" w:line="240" w:lineRule="auto"/>
        <w:ind w:left="5760" w:firstLine="720"/>
        <w:jc w:val="both"/>
      </w:pPr>
      <w:r>
        <w:t xml:space="preserve"> </w:t>
      </w:r>
      <w:r w:rsidR="00521A3C">
        <w:t>de nivelul standard</w:t>
      </w:r>
      <w:r w:rsidR="00264730">
        <w:t xml:space="preserve"> </w:t>
      </w:r>
    </w:p>
    <w:p w:rsidR="00521A3C" w:rsidRDefault="00521A3C" w:rsidP="00C430D4">
      <w:pPr>
        <w:spacing w:after="0" w:line="240" w:lineRule="auto"/>
        <w:jc w:val="both"/>
      </w:pPr>
    </w:p>
    <w:p w:rsidR="0072782A" w:rsidRDefault="0072782A" w:rsidP="00C430D4">
      <w:pPr>
        <w:spacing w:after="0" w:line="240" w:lineRule="auto"/>
        <w:jc w:val="both"/>
      </w:pPr>
    </w:p>
    <w:p w:rsidR="00C430D4" w:rsidRDefault="00C430D4" w:rsidP="00C430D4">
      <w:pPr>
        <w:spacing w:after="0" w:line="240" w:lineRule="auto"/>
        <w:jc w:val="both"/>
        <w:rPr>
          <w:b/>
        </w:rPr>
      </w:pPr>
      <w:r>
        <w:rPr>
          <w:b/>
        </w:rPr>
        <w:t>Impozitul pe terenuri:</w:t>
      </w:r>
    </w:p>
    <w:p w:rsidR="00C430D4" w:rsidRDefault="00C430D4" w:rsidP="00C430D4">
      <w:pPr>
        <w:numPr>
          <w:ilvl w:val="0"/>
          <w:numId w:val="2"/>
        </w:numPr>
        <w:spacing w:after="0" w:line="240" w:lineRule="auto"/>
        <w:jc w:val="both"/>
      </w:pPr>
      <w:r>
        <w:t xml:space="preserve">Impozitul/taxa pe terenuri </w:t>
      </w:r>
      <w:r w:rsidR="002A6170">
        <w:t>din intravilan</w:t>
      </w:r>
      <w:r w:rsidR="0072782A">
        <w:t xml:space="preserve"> – curți - construcții</w:t>
      </w:r>
      <w:r>
        <w:t>:</w:t>
      </w:r>
    </w:p>
    <w:p w:rsidR="00C430D4" w:rsidRDefault="00C430D4" w:rsidP="00C430D4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30"/>
        <w:gridCol w:w="2130"/>
        <w:gridCol w:w="1134"/>
        <w:gridCol w:w="1134"/>
        <w:gridCol w:w="1134"/>
        <w:gridCol w:w="1134"/>
        <w:gridCol w:w="1134"/>
        <w:gridCol w:w="1078"/>
      </w:tblGrid>
      <w:tr w:rsidR="002A6170" w:rsidTr="00ED0580">
        <w:trPr>
          <w:cantSplit/>
          <w:trHeight w:val="355"/>
        </w:trPr>
        <w:tc>
          <w:tcPr>
            <w:tcW w:w="530" w:type="dxa"/>
            <w:vMerge w:val="restart"/>
            <w:textDirection w:val="btLr"/>
          </w:tcPr>
          <w:p w:rsidR="002A6170" w:rsidRDefault="002A6170" w:rsidP="002A6170">
            <w:pPr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Zona</w:t>
            </w:r>
          </w:p>
        </w:tc>
        <w:tc>
          <w:tcPr>
            <w:tcW w:w="2130" w:type="dxa"/>
            <w:vMerge w:val="restart"/>
            <w:vAlign w:val="center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Nivel Cod Fiscal</w:t>
            </w:r>
          </w:p>
        </w:tc>
        <w:tc>
          <w:tcPr>
            <w:tcW w:w="2268" w:type="dxa"/>
            <w:gridSpan w:val="2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2268" w:type="dxa"/>
            <w:gridSpan w:val="2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2212" w:type="dxa"/>
            <w:gridSpan w:val="2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Diferente</w:t>
            </w:r>
          </w:p>
        </w:tc>
      </w:tr>
      <w:tr w:rsidR="002A6170" w:rsidTr="00ED0580">
        <w:trPr>
          <w:cantSplit/>
          <w:trHeight w:val="417"/>
        </w:trPr>
        <w:tc>
          <w:tcPr>
            <w:tcW w:w="530" w:type="dxa"/>
            <w:vMerge/>
            <w:textDirection w:val="btLr"/>
          </w:tcPr>
          <w:p w:rsidR="002A6170" w:rsidRDefault="002A6170" w:rsidP="002A6170">
            <w:pPr>
              <w:ind w:left="113" w:right="113"/>
              <w:jc w:val="both"/>
              <w:rPr>
                <w:b/>
              </w:rPr>
            </w:pPr>
          </w:p>
        </w:tc>
        <w:tc>
          <w:tcPr>
            <w:tcW w:w="2130" w:type="dxa"/>
            <w:vMerge/>
          </w:tcPr>
          <w:p w:rsidR="002A6170" w:rsidRDefault="002A6170" w:rsidP="00ED058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Persoane fizice</w:t>
            </w:r>
          </w:p>
        </w:tc>
        <w:tc>
          <w:tcPr>
            <w:tcW w:w="1134" w:type="dxa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Persoane juridice</w:t>
            </w:r>
          </w:p>
        </w:tc>
        <w:tc>
          <w:tcPr>
            <w:tcW w:w="1134" w:type="dxa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Persoane fizice</w:t>
            </w:r>
          </w:p>
        </w:tc>
        <w:tc>
          <w:tcPr>
            <w:tcW w:w="1134" w:type="dxa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Persoane juridice</w:t>
            </w:r>
          </w:p>
        </w:tc>
        <w:tc>
          <w:tcPr>
            <w:tcW w:w="1134" w:type="dxa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Persoane fizice</w:t>
            </w:r>
          </w:p>
        </w:tc>
        <w:tc>
          <w:tcPr>
            <w:tcW w:w="1078" w:type="dxa"/>
          </w:tcPr>
          <w:p w:rsidR="002A6170" w:rsidRDefault="002A6170" w:rsidP="00ED0580">
            <w:pPr>
              <w:jc w:val="center"/>
              <w:rPr>
                <w:b/>
              </w:rPr>
            </w:pPr>
            <w:r>
              <w:rPr>
                <w:b/>
              </w:rPr>
              <w:t>Persoane juridice</w:t>
            </w:r>
          </w:p>
        </w:tc>
      </w:tr>
      <w:tr w:rsidR="00ED0580" w:rsidTr="00ED0580">
        <w:tc>
          <w:tcPr>
            <w:tcW w:w="5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1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t>6.878 – 17.194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  <w:color w:val="000000"/>
              </w:rPr>
              <w:t>7.800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</w:rPr>
              <w:t>9.000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000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21%</w:t>
            </w:r>
          </w:p>
        </w:tc>
        <w:tc>
          <w:tcPr>
            <w:tcW w:w="1078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22%</w:t>
            </w:r>
          </w:p>
        </w:tc>
      </w:tr>
      <w:tr w:rsidR="00ED0580" w:rsidTr="00ED0580">
        <w:tc>
          <w:tcPr>
            <w:tcW w:w="5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21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t>5.199 – 12.998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  <w:color w:val="000000"/>
              </w:rPr>
              <w:t>5.800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</w:rPr>
              <w:t>6.800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000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21%</w:t>
            </w:r>
          </w:p>
        </w:tc>
        <w:tc>
          <w:tcPr>
            <w:tcW w:w="1078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21%</w:t>
            </w:r>
          </w:p>
        </w:tc>
      </w:tr>
      <w:tr w:rsidR="00ED0580" w:rsidTr="00ED0580">
        <w:tc>
          <w:tcPr>
            <w:tcW w:w="5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t>3.558 – 8.894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  <w:color w:val="000000"/>
              </w:rPr>
              <w:t>4.000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</w:rPr>
              <w:t>4.700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20%</w:t>
            </w:r>
          </w:p>
        </w:tc>
        <w:tc>
          <w:tcPr>
            <w:tcW w:w="1078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19%</w:t>
            </w:r>
          </w:p>
        </w:tc>
      </w:tr>
      <w:tr w:rsidR="00ED0580" w:rsidTr="00ED0580">
        <w:tc>
          <w:tcPr>
            <w:tcW w:w="5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2130" w:type="dxa"/>
          </w:tcPr>
          <w:p w:rsidR="00ED0580" w:rsidRDefault="00ED0580" w:rsidP="00C430D4">
            <w:pPr>
              <w:jc w:val="both"/>
              <w:rPr>
                <w:b/>
              </w:rPr>
            </w:pPr>
            <w:r>
              <w:t>1.690 – 4.226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  <w:color w:val="000000"/>
              </w:rPr>
              <w:t>1.900</w:t>
            </w:r>
          </w:p>
        </w:tc>
        <w:tc>
          <w:tcPr>
            <w:tcW w:w="1134" w:type="dxa"/>
            <w:vAlign w:val="center"/>
          </w:tcPr>
          <w:p w:rsidR="00ED0580" w:rsidRPr="00ED0580" w:rsidRDefault="00ED0580" w:rsidP="00ED0580">
            <w:pPr>
              <w:jc w:val="right"/>
              <w:rPr>
                <w:rFonts w:ascii="Times New Roman" w:hAnsi="Times New Roman"/>
              </w:rPr>
            </w:pPr>
            <w:r w:rsidRPr="00ED0580">
              <w:rPr>
                <w:rFonts w:ascii="Times New Roman" w:hAnsi="Times New Roman"/>
              </w:rPr>
              <w:t>2.200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.</w:t>
            </w: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600</w:t>
            </w:r>
          </w:p>
        </w:tc>
        <w:tc>
          <w:tcPr>
            <w:tcW w:w="1134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21%</w:t>
            </w:r>
          </w:p>
        </w:tc>
        <w:tc>
          <w:tcPr>
            <w:tcW w:w="1078" w:type="dxa"/>
            <w:vAlign w:val="bottom"/>
          </w:tcPr>
          <w:p w:rsidR="00ED0580" w:rsidRPr="00ED0580" w:rsidRDefault="00ED0580" w:rsidP="00521A3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D0580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18%</w:t>
            </w:r>
          </w:p>
        </w:tc>
      </w:tr>
    </w:tbl>
    <w:p w:rsidR="002A6170" w:rsidRDefault="002A6170" w:rsidP="00C430D4">
      <w:pPr>
        <w:spacing w:after="0" w:line="240" w:lineRule="auto"/>
        <w:jc w:val="both"/>
        <w:rPr>
          <w:b/>
        </w:rPr>
      </w:pPr>
    </w:p>
    <w:p w:rsidR="00521A3C" w:rsidRPr="00521A3C" w:rsidRDefault="00521A3C" w:rsidP="00521A3C">
      <w:pPr>
        <w:spacing w:after="0" w:line="240" w:lineRule="auto"/>
        <w:jc w:val="both"/>
        <w:rPr>
          <w:b/>
        </w:rPr>
      </w:pPr>
      <w:r w:rsidRPr="00521A3C">
        <w:rPr>
          <w:b/>
        </w:rPr>
        <w:t>Rezidenții parcurilor industriale din Municipiul Oradea:</w:t>
      </w:r>
    </w:p>
    <w:p w:rsidR="0072782A" w:rsidRDefault="0072782A" w:rsidP="0072782A">
      <w:pPr>
        <w:spacing w:after="0" w:line="240" w:lineRule="auto"/>
        <w:ind w:firstLine="720"/>
        <w:jc w:val="both"/>
      </w:pPr>
      <w:r>
        <w:t xml:space="preserve">Impozit pe </w:t>
      </w:r>
      <w:r w:rsidR="004C79F3">
        <w:t>teren</w:t>
      </w:r>
      <w:r>
        <w:tab/>
      </w:r>
      <w:r>
        <w:tab/>
      </w:r>
      <w:r>
        <w:tab/>
        <w:t>2017: gratuitate</w:t>
      </w:r>
      <w:r>
        <w:tab/>
        <w:t xml:space="preserve">2018: reducere de 50% față </w:t>
      </w:r>
    </w:p>
    <w:p w:rsidR="00521A3C" w:rsidRPr="00521A3C" w:rsidRDefault="0072782A" w:rsidP="0072782A">
      <w:pPr>
        <w:spacing w:after="0" w:line="240" w:lineRule="auto"/>
        <w:ind w:left="5760" w:firstLine="720"/>
        <w:jc w:val="both"/>
      </w:pPr>
      <w:r>
        <w:t xml:space="preserve"> de nivelul standard</w:t>
      </w:r>
    </w:p>
    <w:p w:rsidR="0072782A" w:rsidRDefault="0072782A" w:rsidP="00C430D4">
      <w:pPr>
        <w:spacing w:after="0" w:line="240" w:lineRule="auto"/>
        <w:jc w:val="both"/>
        <w:rPr>
          <w:b/>
        </w:rPr>
      </w:pPr>
    </w:p>
    <w:p w:rsidR="0072782A" w:rsidRDefault="0072782A" w:rsidP="00C430D4">
      <w:pPr>
        <w:spacing w:after="0" w:line="240" w:lineRule="auto"/>
        <w:jc w:val="both"/>
        <w:rPr>
          <w:b/>
        </w:rPr>
      </w:pPr>
    </w:p>
    <w:p w:rsidR="0072782A" w:rsidRDefault="0072782A" w:rsidP="00C430D4">
      <w:pPr>
        <w:spacing w:after="0" w:line="240" w:lineRule="auto"/>
        <w:jc w:val="both"/>
        <w:rPr>
          <w:b/>
        </w:rPr>
      </w:pPr>
    </w:p>
    <w:p w:rsidR="0072782A" w:rsidRDefault="0072782A" w:rsidP="00C430D4">
      <w:pPr>
        <w:spacing w:after="0" w:line="240" w:lineRule="auto"/>
        <w:jc w:val="both"/>
        <w:rPr>
          <w:b/>
        </w:rPr>
      </w:pPr>
    </w:p>
    <w:p w:rsidR="00C430D4" w:rsidRDefault="00C430D4" w:rsidP="00C430D4">
      <w:pPr>
        <w:spacing w:after="0" w:line="240" w:lineRule="auto"/>
        <w:jc w:val="both"/>
        <w:rPr>
          <w:b/>
        </w:rPr>
      </w:pPr>
      <w:r>
        <w:rPr>
          <w:b/>
        </w:rPr>
        <w:t>Impozitul pe mijloace de transport:</w:t>
      </w:r>
    </w:p>
    <w:p w:rsidR="00AA56B8" w:rsidRDefault="00AA56B8" w:rsidP="00521A3C">
      <w:pPr>
        <w:spacing w:after="0" w:line="240" w:lineRule="auto"/>
        <w:jc w:val="both"/>
      </w:pPr>
    </w:p>
    <w:tbl>
      <w:tblPr>
        <w:tblpPr w:leftFromText="180" w:rightFromText="180" w:vertAnchor="text" w:horzAnchor="margin" w:tblpY="-21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1"/>
        <w:gridCol w:w="1457"/>
        <w:gridCol w:w="1418"/>
        <w:gridCol w:w="1417"/>
        <w:gridCol w:w="1270"/>
      </w:tblGrid>
      <w:tr w:rsidR="002640C3" w:rsidRPr="00AA56B8" w:rsidTr="000D122F">
        <w:trPr>
          <w:cantSplit/>
          <w:trHeight w:hRule="exact" w:val="317"/>
        </w:trPr>
        <w:tc>
          <w:tcPr>
            <w:tcW w:w="988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640C3" w:rsidRPr="00AA56B8" w:rsidRDefault="002640C3" w:rsidP="00805E9C">
            <w:pPr>
              <w:tabs>
                <w:tab w:val="left" w:pos="1332"/>
              </w:tabs>
              <w:spacing w:after="0" w:line="240" w:lineRule="auto"/>
              <w:jc w:val="center"/>
              <w:rPr>
                <w:rFonts w:cstheme="minorHAnsi"/>
              </w:rPr>
            </w:pPr>
            <w:r w:rsidRPr="00AA56B8">
              <w:rPr>
                <w:rFonts w:cstheme="minorHAnsi"/>
                <w:b/>
              </w:rPr>
              <w:t>I. Vehicule inmatriculate (lei/200 cm³</w:t>
            </w:r>
            <w:r w:rsidRPr="00AA56B8">
              <w:rPr>
                <w:rFonts w:cstheme="minorHAnsi"/>
              </w:rPr>
              <w:t xml:space="preserve"> </w:t>
            </w:r>
            <w:r w:rsidRPr="00AA56B8">
              <w:rPr>
                <w:rFonts w:cstheme="minorHAnsi"/>
                <w:b/>
              </w:rPr>
              <w:t>sau fracţiune din aceasta)</w:t>
            </w:r>
          </w:p>
        </w:tc>
      </w:tr>
      <w:tr w:rsidR="002640C3" w:rsidRPr="00AA56B8" w:rsidTr="00264730">
        <w:trPr>
          <w:cantSplit/>
          <w:trHeight w:val="215"/>
        </w:trPr>
        <w:tc>
          <w:tcPr>
            <w:tcW w:w="43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805E9C">
            <w:pPr>
              <w:spacing w:after="0" w:line="240" w:lineRule="auto"/>
              <w:ind w:left="360" w:hanging="468"/>
              <w:jc w:val="center"/>
              <w:rPr>
                <w:rFonts w:cstheme="minorHAnsi"/>
                <w:b/>
                <w:bCs/>
              </w:rPr>
            </w:pPr>
            <w:r w:rsidRPr="00AA56B8">
              <w:rPr>
                <w:rFonts w:cstheme="minorHAnsi"/>
                <w:b/>
              </w:rPr>
              <w:t>Tipuri de mijloace de transport</w:t>
            </w:r>
          </w:p>
        </w:tc>
        <w:tc>
          <w:tcPr>
            <w:tcW w:w="14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640C3" w:rsidRPr="00AA56B8" w:rsidRDefault="002640C3" w:rsidP="00805E9C">
            <w:pPr>
              <w:tabs>
                <w:tab w:val="center" w:pos="2959"/>
                <w:tab w:val="left" w:pos="5220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56B8">
              <w:rPr>
                <w:rFonts w:cstheme="minorHAnsi"/>
                <w:b/>
              </w:rPr>
              <w:t>Cod Fiscal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805E9C">
            <w:pPr>
              <w:tabs>
                <w:tab w:val="center" w:pos="2959"/>
                <w:tab w:val="left" w:pos="5220"/>
              </w:tabs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A56B8">
              <w:rPr>
                <w:rFonts w:cstheme="minorHAnsi"/>
                <w:b/>
              </w:rPr>
              <w:t>2017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805E9C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A56B8">
              <w:rPr>
                <w:rFonts w:cstheme="minorHAnsi"/>
                <w:b/>
              </w:rPr>
              <w:t>2018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26473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A56B8">
              <w:rPr>
                <w:rFonts w:cstheme="minorHAnsi"/>
                <w:b/>
                <w:bCs/>
              </w:rPr>
              <w:t>Procent modificare 2018/2017</w:t>
            </w:r>
          </w:p>
        </w:tc>
      </w:tr>
      <w:tr w:rsidR="002640C3" w:rsidRPr="00AA56B8" w:rsidTr="00264730">
        <w:trPr>
          <w:cantSplit/>
          <w:trHeight w:val="576"/>
        </w:trPr>
        <w:tc>
          <w:tcPr>
            <w:tcW w:w="43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640C3" w:rsidRPr="00AA56B8" w:rsidRDefault="002640C3" w:rsidP="00805E9C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0C3" w:rsidRPr="00AA56B8" w:rsidRDefault="002640C3" w:rsidP="000D122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56B8">
              <w:rPr>
                <w:rFonts w:cstheme="minorHAnsi"/>
                <w:b/>
              </w:rPr>
              <w:t xml:space="preserve">Lei/200 cm³ sau fracţiune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0D122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56B8">
              <w:rPr>
                <w:rFonts w:cstheme="minorHAnsi"/>
                <w:b/>
              </w:rPr>
              <w:t xml:space="preserve">Lei/200 cm³ sau fracţiune 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0D122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56B8">
              <w:rPr>
                <w:rFonts w:cstheme="minorHAnsi"/>
                <w:b/>
              </w:rPr>
              <w:t xml:space="preserve">Lei/200 cm³ sau fracţiune </w:t>
            </w:r>
          </w:p>
        </w:tc>
        <w:tc>
          <w:tcPr>
            <w:tcW w:w="127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640C3" w:rsidRPr="00AA56B8" w:rsidRDefault="002640C3" w:rsidP="00805E9C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2640C3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2640C3" w:rsidRDefault="002640C3" w:rsidP="002640C3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2640C3">
              <w:rPr>
                <w:rFonts w:cstheme="minorHAnsi"/>
              </w:rPr>
              <w:t>Motociclete, tricicluri, cvadricicluri şi autoturisme cu capacitatea cilindrică de până la 1600 cm3, inclusiv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8,6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10,5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22%</w:t>
            </w:r>
          </w:p>
        </w:tc>
      </w:tr>
      <w:tr w:rsidR="002640C3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2640C3" w:rsidRDefault="002640C3" w:rsidP="002640C3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2640C3">
              <w:rPr>
                <w:rFonts w:cstheme="minorHAnsi"/>
              </w:rPr>
              <w:t>Motociclete, tricicluri şi cvadricicluri cu capacitatea cilindrică de peste 1.600 cm3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9,6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11,5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0C3" w:rsidRPr="00AA56B8" w:rsidRDefault="002640C3" w:rsidP="002640C3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20%</w:t>
            </w:r>
          </w:p>
        </w:tc>
      </w:tr>
      <w:tr w:rsidR="00264730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2640C3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2640C3">
              <w:rPr>
                <w:rFonts w:cstheme="minorHAnsi"/>
              </w:rPr>
              <w:t>Autoturisme cu capacitatea cilindrică între 1601 cm3 şi 2000 cm3, inclusiv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19%</w:t>
            </w:r>
          </w:p>
        </w:tc>
      </w:tr>
      <w:tr w:rsidR="00264730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AA56B8">
              <w:rPr>
                <w:rFonts w:cstheme="minorHAnsi"/>
              </w:rPr>
              <w:t>Autoturisme cu capacitatea cilindrică între 2001 cm</w:t>
            </w:r>
            <w:r w:rsidRPr="00AA56B8">
              <w:rPr>
                <w:rFonts w:cstheme="minorHAnsi"/>
                <w:vertAlign w:val="superscript"/>
              </w:rPr>
              <w:t>3</w:t>
            </w:r>
            <w:r w:rsidRPr="00AA56B8">
              <w:rPr>
                <w:rFonts w:cstheme="minorHAnsi"/>
              </w:rPr>
              <w:t xml:space="preserve"> şi 2600 cm</w:t>
            </w:r>
            <w:r w:rsidRPr="00AA56B8">
              <w:rPr>
                <w:rFonts w:cstheme="minorHAnsi"/>
                <w:vertAlign w:val="superscript"/>
              </w:rPr>
              <w:t>3</w:t>
            </w:r>
            <w:r w:rsidRPr="00AA56B8">
              <w:rPr>
                <w:rFonts w:cstheme="minorHAnsi"/>
              </w:rPr>
              <w:t>, inclusiv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77,0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92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19%</w:t>
            </w:r>
          </w:p>
        </w:tc>
      </w:tr>
      <w:tr w:rsidR="00264730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AA56B8">
              <w:rPr>
                <w:rFonts w:cstheme="minorHAnsi"/>
              </w:rPr>
              <w:t>Autoturisme cu capacitatea cilindrică între 2601 cm</w:t>
            </w:r>
            <w:r w:rsidRPr="00AA56B8">
              <w:rPr>
                <w:rFonts w:cstheme="minorHAnsi"/>
                <w:vertAlign w:val="superscript"/>
              </w:rPr>
              <w:t>3</w:t>
            </w:r>
            <w:r w:rsidRPr="00AA56B8">
              <w:rPr>
                <w:rFonts w:cstheme="minorHAnsi"/>
              </w:rPr>
              <w:t xml:space="preserve"> şi 3000 cm</w:t>
            </w:r>
            <w:r w:rsidRPr="00AA56B8">
              <w:rPr>
                <w:rFonts w:cstheme="minorHAnsi"/>
                <w:vertAlign w:val="superscript"/>
              </w:rPr>
              <w:t>3</w:t>
            </w:r>
            <w:r w:rsidRPr="00AA56B8">
              <w:rPr>
                <w:rFonts w:cstheme="minorHAnsi"/>
              </w:rPr>
              <w:t>, inclusiv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154,1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185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20%</w:t>
            </w:r>
          </w:p>
        </w:tc>
      </w:tr>
      <w:tr w:rsidR="00264730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AA56B8">
              <w:rPr>
                <w:rFonts w:cstheme="minorHAnsi"/>
              </w:rPr>
              <w:t>Autoturisme cu capacitatea cilindrică de peste 3.001 cm</w:t>
            </w:r>
            <w:r w:rsidRPr="00AA56B8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310,3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372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20%</w:t>
            </w:r>
          </w:p>
        </w:tc>
      </w:tr>
      <w:tr w:rsidR="00264730" w:rsidRPr="00AA56B8" w:rsidTr="00264730">
        <w:trPr>
          <w:cantSplit/>
          <w:trHeight w:val="273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AA56B8">
              <w:rPr>
                <w:rFonts w:cstheme="minorHAnsi"/>
              </w:rPr>
              <w:t>Autobuze, autocare, microbuze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25,7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21%</w:t>
            </w:r>
          </w:p>
        </w:tc>
      </w:tr>
      <w:tr w:rsidR="00264730" w:rsidRPr="00AA56B8" w:rsidTr="00264730">
        <w:trPr>
          <w:cantSplit/>
          <w:trHeight w:val="576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AA56B8">
              <w:rPr>
                <w:rFonts w:cstheme="minorHAnsi"/>
              </w:rPr>
              <w:t>Alte autovehicule cu masa totală maximă autorizată de până la 12 tone inclusiv *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21%</w:t>
            </w:r>
          </w:p>
        </w:tc>
      </w:tr>
      <w:tr w:rsidR="00264730" w:rsidRPr="00AA56B8" w:rsidTr="00264730">
        <w:trPr>
          <w:cantSplit/>
          <w:trHeight w:val="138"/>
        </w:trPr>
        <w:tc>
          <w:tcPr>
            <w:tcW w:w="43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numPr>
                <w:ilvl w:val="0"/>
                <w:numId w:val="5"/>
              </w:numPr>
              <w:tabs>
                <w:tab w:val="num" w:pos="372"/>
              </w:tabs>
              <w:spacing w:after="0" w:line="240" w:lineRule="auto"/>
              <w:ind w:left="372"/>
              <w:jc w:val="both"/>
              <w:rPr>
                <w:rFonts w:cstheme="minorHAnsi"/>
              </w:rPr>
            </w:pPr>
            <w:r w:rsidRPr="00AA56B8">
              <w:rPr>
                <w:rFonts w:cstheme="minorHAnsi"/>
              </w:rPr>
              <w:t>Tractoare înmatriculate</w:t>
            </w:r>
          </w:p>
        </w:tc>
        <w:tc>
          <w:tcPr>
            <w:tcW w:w="14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2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AA56B8">
              <w:rPr>
                <w:rFonts w:cstheme="minorHAnsi"/>
                <w:color w:val="000000"/>
              </w:rPr>
              <w:t>19%</w:t>
            </w:r>
          </w:p>
        </w:tc>
      </w:tr>
      <w:tr w:rsidR="00264730" w:rsidRPr="00AA56B8" w:rsidTr="00607ADD">
        <w:trPr>
          <w:cantSplit/>
          <w:trHeight w:val="576"/>
        </w:trPr>
        <w:tc>
          <w:tcPr>
            <w:tcW w:w="98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64730" w:rsidRPr="00AA56B8" w:rsidRDefault="00264730" w:rsidP="00264730">
            <w:pPr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 w:rsidRPr="002640C3">
              <w:rPr>
                <w:rFonts w:cstheme="minorHAnsi"/>
                <w:lang w:val="en-US"/>
              </w:rPr>
              <w:t xml:space="preserve">* se </w:t>
            </w:r>
            <w:proofErr w:type="spellStart"/>
            <w:r w:rsidRPr="002640C3">
              <w:rPr>
                <w:rFonts w:cstheme="minorHAnsi"/>
                <w:lang w:val="en-US"/>
              </w:rPr>
              <w:t>includ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şi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autovehiculele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2640C3">
              <w:rPr>
                <w:rFonts w:cstheme="minorHAnsi"/>
                <w:lang w:val="en-US"/>
              </w:rPr>
              <w:t>până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la 12 tone </w:t>
            </w:r>
            <w:proofErr w:type="spellStart"/>
            <w:r w:rsidRPr="002640C3">
              <w:rPr>
                <w:rFonts w:cstheme="minorHAnsi"/>
                <w:lang w:val="en-US"/>
              </w:rPr>
              <w:t>inclusiv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2640C3">
              <w:rPr>
                <w:rFonts w:cstheme="minorHAnsi"/>
                <w:lang w:val="en-US"/>
              </w:rPr>
              <w:t>destinate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prin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construcţie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atât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transportului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2640C3">
              <w:rPr>
                <w:rFonts w:cstheme="minorHAnsi"/>
                <w:lang w:val="en-US"/>
              </w:rPr>
              <w:t>persoane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cât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640C3">
              <w:rPr>
                <w:rFonts w:cstheme="minorHAnsi"/>
                <w:lang w:val="en-US"/>
              </w:rPr>
              <w:t>şi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 de </w:t>
            </w:r>
            <w:proofErr w:type="spellStart"/>
            <w:r w:rsidRPr="002640C3">
              <w:rPr>
                <w:rFonts w:cstheme="minorHAnsi"/>
                <w:lang w:val="en-US"/>
              </w:rPr>
              <w:t>bunuri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, automobile </w:t>
            </w:r>
            <w:proofErr w:type="spellStart"/>
            <w:r w:rsidRPr="002640C3">
              <w:rPr>
                <w:rFonts w:cstheme="minorHAnsi"/>
                <w:lang w:val="en-US"/>
              </w:rPr>
              <w:t>mixte</w:t>
            </w:r>
            <w:proofErr w:type="spellEnd"/>
            <w:r w:rsidRPr="002640C3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2640C3">
              <w:rPr>
                <w:rFonts w:cstheme="minorHAnsi"/>
                <w:lang w:val="en-US"/>
              </w:rPr>
              <w:t>autospecializate</w:t>
            </w:r>
            <w:proofErr w:type="spellEnd"/>
          </w:p>
        </w:tc>
      </w:tr>
    </w:tbl>
    <w:p w:rsidR="00521A3C" w:rsidRDefault="00521A3C" w:rsidP="00521A3C">
      <w:pPr>
        <w:spacing w:after="0" w:line="240" w:lineRule="auto"/>
        <w:ind w:firstLine="360"/>
        <w:jc w:val="both"/>
      </w:pPr>
      <w:r>
        <w:t>Impactul bugetar e</w:t>
      </w:r>
      <w:r w:rsidR="00D77F1D">
        <w:t>stimat al modificării</w:t>
      </w:r>
      <w:r w:rsidR="00264730">
        <w:t>lor propuse</w:t>
      </w:r>
      <w:r w:rsidR="00D77F1D">
        <w:t xml:space="preserve"> </w:t>
      </w:r>
      <w:r w:rsidR="00C53FF9">
        <w:t xml:space="preserve">a </w:t>
      </w:r>
      <w:r w:rsidR="00D77F1D">
        <w:t xml:space="preserve">impozitelor și taxelor locale </w:t>
      </w:r>
      <w:r>
        <w:t xml:space="preserve">este de 21 mil lei, respectiv 4,57 mil euro, </w:t>
      </w:r>
      <w:r w:rsidR="00D77F1D">
        <w:t>care</w:t>
      </w:r>
      <w:r w:rsidR="00C53FF9">
        <w:t>v</w:t>
      </w:r>
      <w:r w:rsidR="00D77F1D">
        <w:t xml:space="preserve"> a compensa</w:t>
      </w:r>
      <w:r>
        <w:t xml:space="preserve"> </w:t>
      </w:r>
      <w:r w:rsidR="00D77F1D">
        <w:t xml:space="preserve">aproximativ 50% din </w:t>
      </w:r>
      <w:r w:rsidR="001F5CA8">
        <w:t>reducerea de resurse</w:t>
      </w:r>
      <w:r w:rsidR="00D77F1D">
        <w:t xml:space="preserve"> proprii ca urmare a deciziilor guvernamentale.</w:t>
      </w:r>
    </w:p>
    <w:p w:rsidR="00521A3C" w:rsidRDefault="00521A3C" w:rsidP="00521A3C">
      <w:pPr>
        <w:spacing w:after="0" w:line="240" w:lineRule="auto"/>
        <w:jc w:val="both"/>
      </w:pPr>
    </w:p>
    <w:tbl>
      <w:tblPr>
        <w:tblW w:w="7655" w:type="dxa"/>
        <w:tblInd w:w="108" w:type="dxa"/>
        <w:tblLook w:val="04A0"/>
      </w:tblPr>
      <w:tblGrid>
        <w:gridCol w:w="4962"/>
        <w:gridCol w:w="1417"/>
        <w:gridCol w:w="1276"/>
      </w:tblGrid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Impact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bugetar</w:t>
            </w:r>
            <w:proofErr w:type="spellEnd"/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Categorie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lei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euro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Cladiri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juridice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5.333.979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1.159.561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Cladiri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parc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industrial facilitate 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1.956.894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425.412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Clădiri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fizice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3.827.953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832.164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Total 1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impozit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pe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cladiri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11.118.827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2.417.136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Terenuri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juridice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1.652.709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359.285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Teren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parc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industrial facilitate 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303.945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66.075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Terenuri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fizice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1.583.339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344.204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Total 2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impozit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pe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teren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3.539.993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769.564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Taxa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mijl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transp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juridice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1.784.253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387.881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Taxa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mijl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transp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fizice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2.067.225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449.397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Impozit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auto 12to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200.524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43.592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Total 3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taxa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pe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mijloace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de transport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4.052.002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880.870</w:t>
            </w: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521A3C" w:rsidRPr="00521A3C" w:rsidTr="000D122F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Bonificatii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fiscale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persoane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fizice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- </w:t>
            </w:r>
            <w:proofErr w:type="spellStart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reducere</w:t>
            </w:r>
            <w:proofErr w:type="spellEnd"/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la 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1.273.752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A3C" w:rsidRPr="00521A3C" w:rsidRDefault="00521A3C" w:rsidP="00521A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276.903</w:t>
            </w:r>
          </w:p>
        </w:tc>
      </w:tr>
      <w:tr w:rsidR="00134305" w:rsidRPr="00521A3C" w:rsidTr="00134305">
        <w:trPr>
          <w:trHeight w:val="28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305" w:rsidRPr="00521A3C" w:rsidRDefault="00134305" w:rsidP="0052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Total 4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reducere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bonificatii</w:t>
            </w:r>
            <w:proofErr w:type="spellEnd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fiscale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305" w:rsidRPr="00134305" w:rsidRDefault="00134305" w:rsidP="00134305">
            <w:pPr>
              <w:jc w:val="right"/>
              <w:rPr>
                <w:b/>
              </w:rPr>
            </w:pPr>
            <w:r w:rsidRPr="00134305">
              <w:rPr>
                <w:b/>
              </w:rPr>
              <w:t>1.273.752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305" w:rsidRPr="00134305" w:rsidRDefault="00134305" w:rsidP="00134305">
            <w:pPr>
              <w:jc w:val="right"/>
              <w:rPr>
                <w:b/>
              </w:rPr>
            </w:pPr>
            <w:r w:rsidRPr="00134305">
              <w:rPr>
                <w:b/>
              </w:rPr>
              <w:t>276.903</w:t>
            </w:r>
          </w:p>
        </w:tc>
      </w:tr>
      <w:tr w:rsidR="00134305" w:rsidRPr="00521A3C" w:rsidTr="00267336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4305" w:rsidRPr="00521A3C" w:rsidRDefault="00134305" w:rsidP="00521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521A3C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lastRenderedPageBreak/>
              <w:t>TOTAL general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305" w:rsidRPr="00134305" w:rsidRDefault="00134305" w:rsidP="00134305">
            <w:pPr>
              <w:jc w:val="right"/>
              <w:rPr>
                <w:b/>
              </w:rPr>
            </w:pPr>
            <w:r w:rsidRPr="00134305">
              <w:rPr>
                <w:b/>
              </w:rPr>
              <w:t>19.984.574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4305" w:rsidRPr="00134305" w:rsidRDefault="00134305" w:rsidP="00134305">
            <w:pPr>
              <w:jc w:val="right"/>
              <w:rPr>
                <w:b/>
              </w:rPr>
            </w:pPr>
            <w:r w:rsidRPr="00134305">
              <w:rPr>
                <w:b/>
              </w:rPr>
              <w:t>4.344.473</w:t>
            </w:r>
          </w:p>
        </w:tc>
      </w:tr>
    </w:tbl>
    <w:p w:rsidR="00521A3C" w:rsidRDefault="00521A3C" w:rsidP="00521A3C">
      <w:pPr>
        <w:spacing w:after="0" w:line="240" w:lineRule="auto"/>
        <w:jc w:val="both"/>
      </w:pPr>
    </w:p>
    <w:p w:rsidR="00D77F1D" w:rsidRDefault="0078046D" w:rsidP="005028F5">
      <w:pPr>
        <w:spacing w:after="0" w:line="240" w:lineRule="auto"/>
        <w:ind w:firstLine="720"/>
        <w:jc w:val="both"/>
      </w:pPr>
      <w:r>
        <w:t>Sumele estimate a fi încasate în 2018 pe cele 3 categorii de impozite pe proprietate (clădiri, teren, autovehicule) este de 100 mil lei, față de 79 mil lei în 2017</w:t>
      </w:r>
      <w:r w:rsidR="005028F5">
        <w:t>.</w:t>
      </w:r>
    </w:p>
    <w:p w:rsidR="0078046D" w:rsidRDefault="0078046D" w:rsidP="00521A3C">
      <w:pPr>
        <w:spacing w:after="0" w:line="240" w:lineRule="auto"/>
        <w:jc w:val="both"/>
      </w:pPr>
    </w:p>
    <w:p w:rsidR="00D77F1D" w:rsidRPr="008F7D13" w:rsidRDefault="00D77F1D" w:rsidP="00521A3C">
      <w:pPr>
        <w:spacing w:after="0" w:line="240" w:lineRule="auto"/>
        <w:jc w:val="both"/>
        <w:rPr>
          <w:b/>
        </w:rPr>
      </w:pPr>
      <w:r w:rsidRPr="008F7D13">
        <w:rPr>
          <w:b/>
        </w:rPr>
        <w:t>Exemple:</w:t>
      </w:r>
    </w:p>
    <w:p w:rsidR="005028F5" w:rsidRDefault="005028F5" w:rsidP="0078046D">
      <w:pPr>
        <w:spacing w:after="0" w:line="240" w:lineRule="auto"/>
        <w:jc w:val="both"/>
      </w:pPr>
    </w:p>
    <w:p w:rsidR="005028F5" w:rsidRDefault="000D122F" w:rsidP="0078046D">
      <w:pPr>
        <w:spacing w:after="0" w:line="240" w:lineRule="auto"/>
        <w:jc w:val="both"/>
      </w:pPr>
      <w:r>
        <w:t xml:space="preserve">Persoană fizică, clădire rezidențială, </w:t>
      </w:r>
      <w:r w:rsidR="005028F5">
        <w:t>Garsoni</w:t>
      </w:r>
      <w:r w:rsidR="008F7D13">
        <w:t>e</w:t>
      </w:r>
      <w:r w:rsidR="005028F5">
        <w:t xml:space="preserve">ră, </w:t>
      </w:r>
      <w:r w:rsidR="005028F5" w:rsidRPr="0078046D">
        <w:t>, Su=</w:t>
      </w:r>
      <w:r w:rsidR="005028F5">
        <w:t>30</w:t>
      </w:r>
      <w:r w:rsidR="005028F5" w:rsidRPr="0078046D">
        <w:t xml:space="preserve"> mp – Sc=</w:t>
      </w:r>
      <w:r w:rsidR="005028F5">
        <w:t>4</w:t>
      </w:r>
      <w:r w:rsidR="005028F5" w:rsidRPr="0078046D">
        <w:t xml:space="preserve">0 mp, zona fiscala </w:t>
      </w:r>
      <w:r w:rsidR="005028F5">
        <w:t>A</w:t>
      </w:r>
    </w:p>
    <w:p w:rsidR="005028F5" w:rsidRDefault="005028F5" w:rsidP="005028F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 w:rsidR="00141118">
        <w:rPr>
          <w:lang w:val="en-GB"/>
        </w:rPr>
        <w:t>clădire</w:t>
      </w:r>
      <w:proofErr w:type="spellEnd"/>
      <w:r w:rsidR="00141118">
        <w:rPr>
          <w:lang w:val="en-GB"/>
        </w:rPr>
        <w:t xml:space="preserve"> </w:t>
      </w:r>
      <w:r>
        <w:rPr>
          <w:lang w:val="en-GB"/>
        </w:rPr>
        <w:t>100 lei/an</w:t>
      </w:r>
      <w:r w:rsidR="00141118">
        <w:rPr>
          <w:lang w:val="en-GB"/>
        </w:rPr>
        <w:t xml:space="preserve"> + </w:t>
      </w:r>
      <w:proofErr w:type="spellStart"/>
      <w:r w:rsidR="00141118">
        <w:rPr>
          <w:lang w:val="en-GB"/>
        </w:rPr>
        <w:t>teren</w:t>
      </w:r>
      <w:proofErr w:type="spellEnd"/>
      <w:r w:rsidR="00141118">
        <w:rPr>
          <w:lang w:val="en-GB"/>
        </w:rPr>
        <w:t xml:space="preserve"> 10 lei/an = 110 lei/an</w:t>
      </w:r>
    </w:p>
    <w:p w:rsidR="005028F5" w:rsidRDefault="005028F5" w:rsidP="005028F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 w:rsidR="00141118">
        <w:rPr>
          <w:lang w:val="en-GB"/>
        </w:rPr>
        <w:t>clădire</w:t>
      </w:r>
      <w:proofErr w:type="spellEnd"/>
      <w:r w:rsidR="00141118">
        <w:rPr>
          <w:lang w:val="en-GB"/>
        </w:rPr>
        <w:t xml:space="preserve"> </w:t>
      </w:r>
      <w:r>
        <w:rPr>
          <w:lang w:val="en-GB"/>
        </w:rPr>
        <w:t xml:space="preserve">120 lei/an </w:t>
      </w:r>
      <w:r w:rsidR="00141118">
        <w:rPr>
          <w:lang w:val="en-GB"/>
        </w:rPr>
        <w:t xml:space="preserve">+ </w:t>
      </w:r>
      <w:proofErr w:type="spellStart"/>
      <w:r w:rsidR="00141118">
        <w:rPr>
          <w:lang w:val="en-GB"/>
        </w:rPr>
        <w:t>teren</w:t>
      </w:r>
      <w:proofErr w:type="spellEnd"/>
      <w:r w:rsidR="00141118">
        <w:rPr>
          <w:lang w:val="en-GB"/>
        </w:rPr>
        <w:t xml:space="preserve"> 12 lei/an = 132 lei/an </w:t>
      </w:r>
      <w:r>
        <w:rPr>
          <w:lang w:val="en-GB"/>
        </w:rPr>
        <w:t>(+2</w:t>
      </w:r>
      <w:r w:rsidR="00141118">
        <w:rPr>
          <w:lang w:val="en-GB"/>
        </w:rPr>
        <w:t>2</w:t>
      </w:r>
      <w:r>
        <w:rPr>
          <w:lang w:val="en-GB"/>
        </w:rPr>
        <w:t xml:space="preserve"> lei)</w:t>
      </w:r>
    </w:p>
    <w:p w:rsidR="005028F5" w:rsidRDefault="005028F5" w:rsidP="0078046D">
      <w:pPr>
        <w:spacing w:after="0" w:line="240" w:lineRule="auto"/>
        <w:jc w:val="both"/>
      </w:pPr>
    </w:p>
    <w:p w:rsidR="0078046D" w:rsidRDefault="000D122F" w:rsidP="0078046D">
      <w:pPr>
        <w:spacing w:after="0" w:line="240" w:lineRule="auto"/>
        <w:jc w:val="both"/>
      </w:pPr>
      <w:r>
        <w:t xml:space="preserve">Persoană fizică, clădire rezidențială, </w:t>
      </w:r>
      <w:r w:rsidR="0078046D" w:rsidRPr="0078046D">
        <w:t xml:space="preserve">Apartament, </w:t>
      </w:r>
      <w:r w:rsidR="008F7D13">
        <w:t>2</w:t>
      </w:r>
      <w:r w:rsidR="0078046D" w:rsidRPr="0078046D">
        <w:t xml:space="preserve"> camere, Su=50 mp – Sc=60 mp, zona fiscala </w:t>
      </w:r>
      <w:r w:rsidR="005028F5">
        <w:t>A</w:t>
      </w:r>
    </w:p>
    <w:p w:rsidR="005028F5" w:rsidRDefault="005028F5" w:rsidP="0078046D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 w:rsidR="00141118">
        <w:rPr>
          <w:lang w:val="en-GB"/>
        </w:rPr>
        <w:t>clădire</w:t>
      </w:r>
      <w:proofErr w:type="spellEnd"/>
      <w:r w:rsidR="00141118">
        <w:rPr>
          <w:lang w:val="en-GB"/>
        </w:rPr>
        <w:t xml:space="preserve"> </w:t>
      </w:r>
      <w:r>
        <w:rPr>
          <w:lang w:val="en-GB"/>
        </w:rPr>
        <w:t>150 lei/an</w:t>
      </w:r>
      <w:r w:rsidR="00141118">
        <w:rPr>
          <w:lang w:val="en-GB"/>
        </w:rPr>
        <w:t xml:space="preserve"> + </w:t>
      </w:r>
      <w:proofErr w:type="spellStart"/>
      <w:r w:rsidR="00141118">
        <w:rPr>
          <w:lang w:val="en-GB"/>
        </w:rPr>
        <w:t>teren</w:t>
      </w:r>
      <w:proofErr w:type="spellEnd"/>
      <w:r w:rsidR="00141118">
        <w:rPr>
          <w:lang w:val="en-GB"/>
        </w:rPr>
        <w:t xml:space="preserve"> 15 lei/an = 165 lei/an</w:t>
      </w:r>
    </w:p>
    <w:p w:rsidR="005028F5" w:rsidRDefault="005028F5" w:rsidP="0078046D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 w:rsidR="00141118">
        <w:rPr>
          <w:lang w:val="en-GB"/>
        </w:rPr>
        <w:t>clădire</w:t>
      </w:r>
      <w:proofErr w:type="spellEnd"/>
      <w:r w:rsidR="00141118">
        <w:rPr>
          <w:lang w:val="en-GB"/>
        </w:rPr>
        <w:t xml:space="preserve"> </w:t>
      </w:r>
      <w:r>
        <w:rPr>
          <w:lang w:val="en-GB"/>
        </w:rPr>
        <w:t xml:space="preserve">180 lei/an </w:t>
      </w:r>
      <w:r w:rsidR="00141118">
        <w:rPr>
          <w:lang w:val="en-GB"/>
        </w:rPr>
        <w:t xml:space="preserve">+ </w:t>
      </w:r>
      <w:proofErr w:type="spellStart"/>
      <w:r w:rsidR="00141118">
        <w:rPr>
          <w:lang w:val="en-GB"/>
        </w:rPr>
        <w:t>teren</w:t>
      </w:r>
      <w:proofErr w:type="spellEnd"/>
      <w:r w:rsidR="00141118">
        <w:rPr>
          <w:lang w:val="en-GB"/>
        </w:rPr>
        <w:t xml:space="preserve"> 18 lei/an = 198 lei/an </w:t>
      </w:r>
      <w:r>
        <w:rPr>
          <w:lang w:val="en-GB"/>
        </w:rPr>
        <w:t>(+3</w:t>
      </w:r>
      <w:r w:rsidR="00141118">
        <w:rPr>
          <w:lang w:val="en-GB"/>
        </w:rPr>
        <w:t>3</w:t>
      </w:r>
      <w:r>
        <w:rPr>
          <w:lang w:val="en-GB"/>
        </w:rPr>
        <w:t xml:space="preserve"> lei)</w:t>
      </w:r>
    </w:p>
    <w:p w:rsidR="005028F5" w:rsidRDefault="005028F5" w:rsidP="0078046D">
      <w:pPr>
        <w:spacing w:after="0" w:line="240" w:lineRule="auto"/>
        <w:jc w:val="both"/>
        <w:rPr>
          <w:lang w:val="en-GB"/>
        </w:rPr>
      </w:pPr>
    </w:p>
    <w:p w:rsidR="005028F5" w:rsidRDefault="000D122F" w:rsidP="0078046D">
      <w:pPr>
        <w:spacing w:after="0" w:line="240" w:lineRule="auto"/>
        <w:jc w:val="both"/>
        <w:rPr>
          <w:lang w:val="en-GB"/>
        </w:rPr>
      </w:pPr>
      <w:r>
        <w:t xml:space="preserve">Persoană fizică, clădire rezidențială, </w:t>
      </w:r>
      <w:proofErr w:type="spellStart"/>
      <w:r w:rsidR="005028F5">
        <w:rPr>
          <w:lang w:val="en-GB"/>
        </w:rPr>
        <w:t>Apartament</w:t>
      </w:r>
      <w:proofErr w:type="spellEnd"/>
      <w:r w:rsidR="005028F5">
        <w:rPr>
          <w:lang w:val="en-GB"/>
        </w:rPr>
        <w:t xml:space="preserve">, 3 </w:t>
      </w:r>
      <w:proofErr w:type="spellStart"/>
      <w:r w:rsidR="005028F5">
        <w:rPr>
          <w:lang w:val="en-GB"/>
        </w:rPr>
        <w:t>camere</w:t>
      </w:r>
      <w:proofErr w:type="spellEnd"/>
      <w:r w:rsidR="005028F5">
        <w:rPr>
          <w:lang w:val="en-GB"/>
        </w:rPr>
        <w:t xml:space="preserve">, </w:t>
      </w:r>
      <w:r w:rsidR="005028F5" w:rsidRPr="0078046D">
        <w:t>Su=5</w:t>
      </w:r>
      <w:r w:rsidR="005028F5">
        <w:t>6</w:t>
      </w:r>
      <w:r w:rsidR="005028F5" w:rsidRPr="0078046D">
        <w:t xml:space="preserve"> mp – Sc=</w:t>
      </w:r>
      <w:r w:rsidR="005028F5">
        <w:t>7</w:t>
      </w:r>
      <w:r w:rsidR="005028F5" w:rsidRPr="0078046D">
        <w:t xml:space="preserve">0 mp, zona fiscala </w:t>
      </w:r>
      <w:r w:rsidR="005028F5">
        <w:t>A</w:t>
      </w:r>
    </w:p>
    <w:p w:rsidR="005028F5" w:rsidRDefault="005028F5" w:rsidP="005028F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 w:rsidR="00141118">
        <w:rPr>
          <w:lang w:val="en-GB"/>
        </w:rPr>
        <w:t>clădire</w:t>
      </w:r>
      <w:proofErr w:type="spellEnd"/>
      <w:r w:rsidR="00141118">
        <w:rPr>
          <w:lang w:val="en-GB"/>
        </w:rPr>
        <w:t xml:space="preserve"> </w:t>
      </w:r>
      <w:r>
        <w:rPr>
          <w:lang w:val="en-GB"/>
        </w:rPr>
        <w:t>175 lei/an</w:t>
      </w:r>
      <w:r w:rsidR="00141118">
        <w:rPr>
          <w:lang w:val="en-GB"/>
        </w:rPr>
        <w:t xml:space="preserve"> + </w:t>
      </w:r>
      <w:proofErr w:type="spellStart"/>
      <w:r w:rsidR="00141118">
        <w:rPr>
          <w:lang w:val="en-GB"/>
        </w:rPr>
        <w:t>teren</w:t>
      </w:r>
      <w:proofErr w:type="spellEnd"/>
      <w:r w:rsidR="00141118">
        <w:rPr>
          <w:lang w:val="en-GB"/>
        </w:rPr>
        <w:t xml:space="preserve"> 18 lei/an = 193 lei/an</w:t>
      </w:r>
    </w:p>
    <w:p w:rsidR="005028F5" w:rsidRDefault="005028F5" w:rsidP="005028F5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 w:rsidR="00141118">
        <w:rPr>
          <w:lang w:val="en-GB"/>
        </w:rPr>
        <w:t>clădire</w:t>
      </w:r>
      <w:proofErr w:type="spellEnd"/>
      <w:r w:rsidR="00141118">
        <w:rPr>
          <w:lang w:val="en-GB"/>
        </w:rPr>
        <w:t xml:space="preserve"> 210</w:t>
      </w:r>
      <w:r>
        <w:rPr>
          <w:lang w:val="en-GB"/>
        </w:rPr>
        <w:t xml:space="preserve"> lei/an </w:t>
      </w:r>
      <w:r w:rsidR="00141118">
        <w:rPr>
          <w:lang w:val="en-GB"/>
        </w:rPr>
        <w:t xml:space="preserve">+ </w:t>
      </w:r>
      <w:proofErr w:type="spellStart"/>
      <w:r w:rsidR="00141118">
        <w:rPr>
          <w:lang w:val="en-GB"/>
        </w:rPr>
        <w:t>teren</w:t>
      </w:r>
      <w:proofErr w:type="spellEnd"/>
      <w:r w:rsidR="00141118">
        <w:rPr>
          <w:lang w:val="en-GB"/>
        </w:rPr>
        <w:t xml:space="preserve"> 22 lei/an = 232 lei/an </w:t>
      </w:r>
      <w:r>
        <w:rPr>
          <w:lang w:val="en-GB"/>
        </w:rPr>
        <w:t>(+3</w:t>
      </w:r>
      <w:r w:rsidR="00141118">
        <w:rPr>
          <w:lang w:val="en-GB"/>
        </w:rPr>
        <w:t>9</w:t>
      </w:r>
      <w:r>
        <w:rPr>
          <w:lang w:val="en-GB"/>
        </w:rPr>
        <w:t xml:space="preserve"> lei)</w:t>
      </w:r>
    </w:p>
    <w:p w:rsidR="005028F5" w:rsidRDefault="005028F5" w:rsidP="0078046D">
      <w:pPr>
        <w:spacing w:after="0" w:line="240" w:lineRule="auto"/>
        <w:jc w:val="both"/>
        <w:rPr>
          <w:lang w:val="en-GB"/>
        </w:rPr>
      </w:pPr>
    </w:p>
    <w:p w:rsidR="0078046D" w:rsidRPr="0078046D" w:rsidRDefault="000D122F" w:rsidP="0078046D">
      <w:pPr>
        <w:spacing w:after="0" w:line="240" w:lineRule="auto"/>
        <w:jc w:val="both"/>
        <w:rPr>
          <w:lang w:val="en-GB"/>
        </w:rPr>
      </w:pPr>
      <w:r>
        <w:t xml:space="preserve">Persoană fizică, clădire rezidențială, </w:t>
      </w:r>
      <w:r w:rsidR="0078046D" w:rsidRPr="0078046D">
        <w:t xml:space="preserve">Casă, </w:t>
      </w:r>
      <w:r w:rsidR="00141118">
        <w:t xml:space="preserve">Su = 170 mp, </w:t>
      </w:r>
      <w:r w:rsidR="0078046D" w:rsidRPr="0078046D">
        <w:t>Sc=</w:t>
      </w:r>
      <w:r w:rsidR="00141118">
        <w:t>200</w:t>
      </w:r>
      <w:r w:rsidR="0078046D" w:rsidRPr="0078046D">
        <w:t xml:space="preserve"> mp, toate utilităţile, zona fiscală A, </w:t>
      </w:r>
      <w:r w:rsidR="00141118">
        <w:t>teren aferent curți-construcții 400 mp</w:t>
      </w:r>
    </w:p>
    <w:p w:rsidR="00141118" w:rsidRDefault="00141118" w:rsidP="0014111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500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312 lei/an = 812 lei/an</w:t>
      </w:r>
    </w:p>
    <w:p w:rsidR="00141118" w:rsidRDefault="00141118" w:rsidP="0014111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600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374 lei/an = 974 lei/an (+162 lei)</w:t>
      </w:r>
    </w:p>
    <w:p w:rsidR="00141118" w:rsidRDefault="00141118" w:rsidP="00141118">
      <w:pPr>
        <w:spacing w:after="0" w:line="240" w:lineRule="auto"/>
        <w:jc w:val="both"/>
        <w:rPr>
          <w:lang w:val="en-GB"/>
        </w:rPr>
      </w:pPr>
    </w:p>
    <w:p w:rsidR="00141118" w:rsidRPr="0078046D" w:rsidRDefault="000D122F" w:rsidP="00141118">
      <w:pPr>
        <w:spacing w:after="0" w:line="240" w:lineRule="auto"/>
        <w:jc w:val="both"/>
        <w:rPr>
          <w:lang w:val="en-GB"/>
        </w:rPr>
      </w:pPr>
      <w:r>
        <w:t xml:space="preserve">Persoană fizică, clădire rezidențială, </w:t>
      </w:r>
      <w:r w:rsidR="00141118" w:rsidRPr="0078046D">
        <w:t xml:space="preserve">Casă, </w:t>
      </w:r>
      <w:r w:rsidR="00141118">
        <w:t xml:space="preserve">Su = 120 mp, </w:t>
      </w:r>
      <w:r w:rsidR="00141118" w:rsidRPr="0078046D">
        <w:t>Sc=</w:t>
      </w:r>
      <w:r w:rsidR="00141118">
        <w:t>150 mp</w:t>
      </w:r>
      <w:r w:rsidR="00141118" w:rsidRPr="0078046D">
        <w:t xml:space="preserve">, zona fiscală </w:t>
      </w:r>
      <w:r w:rsidR="00141118">
        <w:t>B</w:t>
      </w:r>
      <w:r w:rsidR="00141118" w:rsidRPr="0078046D">
        <w:t xml:space="preserve">, </w:t>
      </w:r>
      <w:r w:rsidR="00141118">
        <w:t>teren aferent curti construcții 200 mp + teren arabil 600 mp</w:t>
      </w:r>
    </w:p>
    <w:p w:rsidR="00141118" w:rsidRDefault="00141118" w:rsidP="0014111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360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11</w:t>
      </w:r>
      <w:r w:rsidR="008F7D13">
        <w:rPr>
          <w:lang w:val="en-GB"/>
        </w:rPr>
        <w:t>9</w:t>
      </w:r>
      <w:r>
        <w:rPr>
          <w:lang w:val="en-GB"/>
        </w:rPr>
        <w:t xml:space="preserve"> lei/an = </w:t>
      </w:r>
      <w:r w:rsidR="008F7D13">
        <w:rPr>
          <w:lang w:val="en-GB"/>
        </w:rPr>
        <w:t>479</w:t>
      </w:r>
      <w:r>
        <w:rPr>
          <w:lang w:val="en-GB"/>
        </w:rPr>
        <w:t xml:space="preserve"> lei/an</w:t>
      </w:r>
    </w:p>
    <w:p w:rsidR="00141118" w:rsidRDefault="00141118" w:rsidP="00141118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432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</w:t>
      </w:r>
      <w:r w:rsidR="008F7D13">
        <w:rPr>
          <w:lang w:val="en-GB"/>
        </w:rPr>
        <w:t>143</w:t>
      </w:r>
      <w:r>
        <w:rPr>
          <w:lang w:val="en-GB"/>
        </w:rPr>
        <w:t xml:space="preserve"> lei/an = </w:t>
      </w:r>
      <w:r w:rsidR="008F7D13">
        <w:rPr>
          <w:lang w:val="en-GB"/>
        </w:rPr>
        <w:t>575</w:t>
      </w:r>
      <w:r>
        <w:rPr>
          <w:lang w:val="en-GB"/>
        </w:rPr>
        <w:t xml:space="preserve"> lei/an (+</w:t>
      </w:r>
      <w:r w:rsidR="008F7D13">
        <w:rPr>
          <w:lang w:val="en-GB"/>
        </w:rPr>
        <w:t>96</w:t>
      </w:r>
      <w:r>
        <w:rPr>
          <w:lang w:val="en-GB"/>
        </w:rPr>
        <w:t xml:space="preserve"> lei)</w:t>
      </w:r>
    </w:p>
    <w:p w:rsidR="00D77F1D" w:rsidRDefault="00D77F1D" w:rsidP="00521A3C">
      <w:pPr>
        <w:spacing w:after="0" w:line="240" w:lineRule="auto"/>
        <w:jc w:val="both"/>
      </w:pPr>
    </w:p>
    <w:p w:rsidR="000D122F" w:rsidRDefault="000D122F" w:rsidP="00521A3C">
      <w:pPr>
        <w:spacing w:after="0" w:line="240" w:lineRule="auto"/>
        <w:jc w:val="both"/>
      </w:pPr>
      <w:r>
        <w:t>Persoană juridică, clădire nerezidențială – de birouri, Sc 250 mp, valoare de impozitare 600.000 lei, teren aferent 150 mp, zona A</w:t>
      </w:r>
    </w:p>
    <w:p w:rsidR="000D122F" w:rsidRDefault="000D122F" w:rsidP="000D122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5.700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135 lei/an = 5.835 lei/an</w:t>
      </w:r>
    </w:p>
    <w:p w:rsidR="000D122F" w:rsidRDefault="000D122F" w:rsidP="000D122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6.900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162 lei/an = 7.062 lei/an (+1.227 lei)</w:t>
      </w:r>
    </w:p>
    <w:p w:rsidR="000D122F" w:rsidRDefault="000D122F" w:rsidP="00521A3C">
      <w:pPr>
        <w:spacing w:after="0" w:line="240" w:lineRule="auto"/>
        <w:jc w:val="both"/>
      </w:pPr>
    </w:p>
    <w:p w:rsidR="000D122F" w:rsidRDefault="000D122F" w:rsidP="000D122F">
      <w:pPr>
        <w:spacing w:after="0" w:line="240" w:lineRule="auto"/>
        <w:jc w:val="both"/>
      </w:pPr>
      <w:r>
        <w:t xml:space="preserve">Persoană juridică, clădire nerezidențială – hală, Sc </w:t>
      </w:r>
      <w:r w:rsidR="00E20BC0">
        <w:t>1550</w:t>
      </w:r>
      <w:r>
        <w:t xml:space="preserve"> mp, valoare de impozitare 2.500.000 lei, teren aferent 1000 mp, zona B</w:t>
      </w:r>
    </w:p>
    <w:p w:rsidR="000D122F" w:rsidRDefault="000D122F" w:rsidP="000D122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23.750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680 lei/an = 24.430 lei/an</w:t>
      </w:r>
    </w:p>
    <w:p w:rsidR="000D122F" w:rsidRDefault="000D122F" w:rsidP="000D122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</w:r>
      <w:proofErr w:type="spellStart"/>
      <w:r>
        <w:rPr>
          <w:lang w:val="en-GB"/>
        </w:rPr>
        <w:t>clădire</w:t>
      </w:r>
      <w:proofErr w:type="spellEnd"/>
      <w:r>
        <w:rPr>
          <w:lang w:val="en-GB"/>
        </w:rPr>
        <w:t xml:space="preserve"> 28.750 lei/an + </w:t>
      </w:r>
      <w:proofErr w:type="spellStart"/>
      <w:r>
        <w:rPr>
          <w:lang w:val="en-GB"/>
        </w:rPr>
        <w:t>teren</w:t>
      </w:r>
      <w:proofErr w:type="spellEnd"/>
      <w:r>
        <w:rPr>
          <w:lang w:val="en-GB"/>
        </w:rPr>
        <w:t xml:space="preserve"> 820 lei/an = 29.570 lei/an (+5.140 lei)</w:t>
      </w:r>
    </w:p>
    <w:p w:rsidR="000D122F" w:rsidRDefault="000D122F" w:rsidP="00521A3C">
      <w:pPr>
        <w:spacing w:after="0" w:line="240" w:lineRule="auto"/>
        <w:jc w:val="both"/>
      </w:pPr>
    </w:p>
    <w:p w:rsidR="008F7D13" w:rsidRDefault="008F7D13" w:rsidP="00521A3C">
      <w:pPr>
        <w:spacing w:after="0" w:line="240" w:lineRule="auto"/>
        <w:jc w:val="both"/>
      </w:pPr>
      <w:r>
        <w:t>Autoturism Logan, capacitate cilindrică 1,4 cmc</w:t>
      </w:r>
    </w:p>
    <w:p w:rsidR="008F7D13" w:rsidRDefault="008F7D13" w:rsidP="008F7D13">
      <w:pPr>
        <w:spacing w:after="0" w:line="240" w:lineRule="auto"/>
        <w:ind w:left="1440" w:firstLine="720"/>
        <w:jc w:val="both"/>
        <w:rPr>
          <w:lang w:val="en-GB"/>
        </w:rPr>
      </w:pP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  <w:t>60 lei/an</w:t>
      </w:r>
    </w:p>
    <w:p w:rsidR="008F7D13" w:rsidRDefault="008F7D13" w:rsidP="008F7D13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  <w:t>72 lei/an (+12 lei)</w:t>
      </w:r>
    </w:p>
    <w:p w:rsidR="008F7D13" w:rsidRDefault="008F7D13" w:rsidP="00521A3C">
      <w:pPr>
        <w:spacing w:after="0" w:line="240" w:lineRule="auto"/>
        <w:jc w:val="both"/>
      </w:pPr>
    </w:p>
    <w:p w:rsidR="008F7D13" w:rsidRDefault="008F7D13" w:rsidP="00521A3C">
      <w:pPr>
        <w:spacing w:after="0" w:line="240" w:lineRule="auto"/>
        <w:jc w:val="both"/>
      </w:pPr>
      <w:r>
        <w:t>Autoturism, capacitate cilindrică 1,9 cmc</w:t>
      </w:r>
    </w:p>
    <w:p w:rsidR="008F7D13" w:rsidRDefault="008F7D13" w:rsidP="008F7D13">
      <w:pPr>
        <w:spacing w:after="0" w:line="240" w:lineRule="auto"/>
        <w:ind w:left="1440" w:firstLine="720"/>
        <w:jc w:val="both"/>
        <w:rPr>
          <w:lang w:val="en-GB"/>
        </w:rPr>
      </w:pP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2017:</w:t>
      </w:r>
      <w:r>
        <w:rPr>
          <w:lang w:val="en-GB"/>
        </w:rPr>
        <w:tab/>
        <w:t>193 lei/an</w:t>
      </w:r>
    </w:p>
    <w:p w:rsidR="008F7D13" w:rsidRDefault="008F7D13" w:rsidP="00521A3C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Impozit</w:t>
      </w:r>
      <w:proofErr w:type="spellEnd"/>
      <w:r>
        <w:rPr>
          <w:lang w:val="en-GB"/>
        </w:rPr>
        <w:t xml:space="preserve"> 2018:</w:t>
      </w:r>
      <w:r>
        <w:rPr>
          <w:lang w:val="en-GB"/>
        </w:rPr>
        <w:tab/>
        <w:t>230 lei/an (+37 lei)</w:t>
      </w:r>
    </w:p>
    <w:p w:rsidR="00546D49" w:rsidRDefault="00546D49" w:rsidP="00521A3C">
      <w:pPr>
        <w:spacing w:after="0" w:line="240" w:lineRule="auto"/>
        <w:jc w:val="both"/>
        <w:rPr>
          <w:lang w:val="en-GB"/>
        </w:rPr>
      </w:pPr>
    </w:p>
    <w:sectPr w:rsidR="00546D49" w:rsidSect="00B65456">
      <w:pgSz w:w="11906" w:h="16838"/>
      <w:pgMar w:top="851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1520D"/>
    <w:multiLevelType w:val="hybridMultilevel"/>
    <w:tmpl w:val="685889AA"/>
    <w:lvl w:ilvl="0" w:tplc="00A28CA0">
      <w:start w:val="1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0" w:hanging="360"/>
      </w:pPr>
    </w:lvl>
    <w:lvl w:ilvl="2" w:tplc="0809001B" w:tentative="1">
      <w:start w:val="1"/>
      <w:numFmt w:val="lowerRoman"/>
      <w:lvlText w:val="%3."/>
      <w:lvlJc w:val="right"/>
      <w:pPr>
        <w:ind w:left="1970" w:hanging="180"/>
      </w:pPr>
    </w:lvl>
    <w:lvl w:ilvl="3" w:tplc="0809000F" w:tentative="1">
      <w:start w:val="1"/>
      <w:numFmt w:val="decimal"/>
      <w:lvlText w:val="%4."/>
      <w:lvlJc w:val="left"/>
      <w:pPr>
        <w:ind w:left="2690" w:hanging="360"/>
      </w:pPr>
    </w:lvl>
    <w:lvl w:ilvl="4" w:tplc="08090019" w:tentative="1">
      <w:start w:val="1"/>
      <w:numFmt w:val="lowerLetter"/>
      <w:lvlText w:val="%5."/>
      <w:lvlJc w:val="left"/>
      <w:pPr>
        <w:ind w:left="3410" w:hanging="360"/>
      </w:pPr>
    </w:lvl>
    <w:lvl w:ilvl="5" w:tplc="0809001B" w:tentative="1">
      <w:start w:val="1"/>
      <w:numFmt w:val="lowerRoman"/>
      <w:lvlText w:val="%6."/>
      <w:lvlJc w:val="right"/>
      <w:pPr>
        <w:ind w:left="4130" w:hanging="180"/>
      </w:pPr>
    </w:lvl>
    <w:lvl w:ilvl="6" w:tplc="0809000F" w:tentative="1">
      <w:start w:val="1"/>
      <w:numFmt w:val="decimal"/>
      <w:lvlText w:val="%7."/>
      <w:lvlJc w:val="left"/>
      <w:pPr>
        <w:ind w:left="4850" w:hanging="360"/>
      </w:pPr>
    </w:lvl>
    <w:lvl w:ilvl="7" w:tplc="08090019" w:tentative="1">
      <w:start w:val="1"/>
      <w:numFmt w:val="lowerLetter"/>
      <w:lvlText w:val="%8."/>
      <w:lvlJc w:val="left"/>
      <w:pPr>
        <w:ind w:left="5570" w:hanging="360"/>
      </w:pPr>
    </w:lvl>
    <w:lvl w:ilvl="8" w:tplc="08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>
    <w:nsid w:val="26D85D8B"/>
    <w:multiLevelType w:val="hybridMultilevel"/>
    <w:tmpl w:val="EF6CB3CC"/>
    <w:lvl w:ilvl="0" w:tplc="24D8D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032EE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3C0BB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513E288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FC8B27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5078B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275A145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1509B9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562C46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47B246B4"/>
    <w:multiLevelType w:val="hybridMultilevel"/>
    <w:tmpl w:val="7E109FF4"/>
    <w:lvl w:ilvl="0" w:tplc="BB7C18EC">
      <w:start w:val="87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81A2598"/>
    <w:multiLevelType w:val="hybridMultilevel"/>
    <w:tmpl w:val="2A4E6C5C"/>
    <w:lvl w:ilvl="0" w:tplc="9256950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277020"/>
    <w:multiLevelType w:val="hybridMultilevel"/>
    <w:tmpl w:val="2A4E6C5C"/>
    <w:lvl w:ilvl="0" w:tplc="9256950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42349B"/>
    <w:rsid w:val="00007AFF"/>
    <w:rsid w:val="00063F36"/>
    <w:rsid w:val="000D122F"/>
    <w:rsid w:val="001137A7"/>
    <w:rsid w:val="00134305"/>
    <w:rsid w:val="00141118"/>
    <w:rsid w:val="00192B22"/>
    <w:rsid w:val="001F5CA8"/>
    <w:rsid w:val="002407FB"/>
    <w:rsid w:val="00256740"/>
    <w:rsid w:val="002640C3"/>
    <w:rsid w:val="00264730"/>
    <w:rsid w:val="002A6170"/>
    <w:rsid w:val="002F4E78"/>
    <w:rsid w:val="0038361E"/>
    <w:rsid w:val="003B1F25"/>
    <w:rsid w:val="003B5C61"/>
    <w:rsid w:val="0042349B"/>
    <w:rsid w:val="004509AF"/>
    <w:rsid w:val="004C79F3"/>
    <w:rsid w:val="00501B70"/>
    <w:rsid w:val="005028F5"/>
    <w:rsid w:val="00521A3C"/>
    <w:rsid w:val="00536856"/>
    <w:rsid w:val="00546D49"/>
    <w:rsid w:val="00582036"/>
    <w:rsid w:val="006F4D60"/>
    <w:rsid w:val="0072782A"/>
    <w:rsid w:val="0078046D"/>
    <w:rsid w:val="00847F1D"/>
    <w:rsid w:val="00883997"/>
    <w:rsid w:val="008F7D13"/>
    <w:rsid w:val="0090034B"/>
    <w:rsid w:val="00943194"/>
    <w:rsid w:val="009879DC"/>
    <w:rsid w:val="009C3FE7"/>
    <w:rsid w:val="00AA56B8"/>
    <w:rsid w:val="00AC1037"/>
    <w:rsid w:val="00B65456"/>
    <w:rsid w:val="00BA388D"/>
    <w:rsid w:val="00BC16C8"/>
    <w:rsid w:val="00C430D4"/>
    <w:rsid w:val="00C455B6"/>
    <w:rsid w:val="00C53FF9"/>
    <w:rsid w:val="00CB6FDE"/>
    <w:rsid w:val="00D77F1D"/>
    <w:rsid w:val="00DE11DC"/>
    <w:rsid w:val="00E20BC0"/>
    <w:rsid w:val="00E215CC"/>
    <w:rsid w:val="00E41F73"/>
    <w:rsid w:val="00ED0580"/>
    <w:rsid w:val="00F466E8"/>
    <w:rsid w:val="00F4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19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78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DE1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7F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30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30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next w:val="BodyText2"/>
    <w:link w:val="BodyTextChar"/>
    <w:uiPriority w:val="99"/>
    <w:unhideWhenUsed/>
    <w:rsid w:val="00C430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430D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30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30D4"/>
    <w:rPr>
      <w:lang w:val="ro-RO"/>
    </w:rPr>
  </w:style>
  <w:style w:type="table" w:styleId="TableGrid">
    <w:name w:val="Table Grid"/>
    <w:basedOn w:val="TableNormal"/>
    <w:uiPriority w:val="59"/>
    <w:rsid w:val="002A6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78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DE11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0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07F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30D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30D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next w:val="BodyText2"/>
    <w:link w:val="BodyTextChar"/>
    <w:uiPriority w:val="99"/>
    <w:unhideWhenUsed/>
    <w:rsid w:val="00C430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430D4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430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430D4"/>
    <w:rPr>
      <w:lang w:val="ro-RO"/>
    </w:rPr>
  </w:style>
  <w:style w:type="table" w:styleId="TableGrid">
    <w:name w:val="Table Grid"/>
    <w:basedOn w:val="TableNormal"/>
    <w:uiPriority w:val="59"/>
    <w:rsid w:val="002A6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ctele%20mele\BUGET\2017\Buget%20an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o-RO"/>
  <c:chart>
    <c:title>
      <c:tx>
        <c:rich>
          <a:bodyPr/>
          <a:lstStyle/>
          <a:p>
            <a:pPr>
              <a:defRPr sz="1400"/>
            </a:pPr>
            <a:r>
              <a:rPr lang="en-US" sz="1400">
                <a:latin typeface="+mn-lt"/>
              </a:rPr>
              <a:t>Evolutia </a:t>
            </a:r>
            <a:r>
              <a:rPr lang="ro-RO" sz="1400">
                <a:latin typeface="+mn-lt"/>
              </a:rPr>
              <a:t>încasărilor din IVG (euro</a:t>
            </a:r>
            <a:r>
              <a:rPr lang="ro-RO" sz="1400"/>
              <a:t>)</a:t>
            </a:r>
            <a:endParaRPr lang="en-US" sz="1400"/>
          </a:p>
        </c:rich>
      </c:tx>
      <c:overlay val="1"/>
    </c:title>
    <c:plotArea>
      <c:layout>
        <c:manualLayout>
          <c:layoutTarget val="inner"/>
          <c:xMode val="edge"/>
          <c:yMode val="edge"/>
          <c:x val="2.150537634408603E-2"/>
          <c:y val="0.11574074074074077"/>
          <c:w val="0.95698924731182822"/>
          <c:h val="0.77813216841045552"/>
        </c:manualLayout>
      </c:layout>
      <c:barChart>
        <c:barDir val="col"/>
        <c:grouping val="clustered"/>
        <c:ser>
          <c:idx val="0"/>
          <c:order val="0"/>
          <c:dLbls>
            <c:dLbl>
              <c:idx val="1"/>
              <c:layout>
                <c:manualLayout>
                  <c:x val="-3.6330608537693018E-3"/>
                  <c:y val="4.2060988433228214E-3"/>
                </c:manualLayout>
              </c:layout>
              <c:showVal val="1"/>
            </c:dLbl>
            <c:dLbl>
              <c:idx val="2"/>
              <c:layout>
                <c:manualLayout>
                  <c:x val="1.8165304268846509E-3"/>
                  <c:y val="-1.2618296529968489E-2"/>
                </c:manualLayout>
              </c:layout>
              <c:showVal val="1"/>
            </c:dLbl>
            <c:dLbl>
              <c:idx val="4"/>
              <c:layout>
                <c:manualLayout>
                  <c:x val="-6.9945030456098701E-4"/>
                  <c:y val="-1.2618296529968489E-2"/>
                </c:manualLayout>
              </c:layout>
              <c:showVal val="1"/>
            </c:dLbl>
            <c:showVal val="1"/>
          </c:dLbls>
          <c:cat>
            <c:strRef>
              <c:f>Sheet1!$C$5:$I$5</c:f>
              <c:strCach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strCache>
            </c:strRef>
          </c:cat>
          <c:val>
            <c:numRef>
              <c:f>Sheet1!$C$11:$I$11</c:f>
              <c:numCache>
                <c:formatCode>#,##0</c:formatCode>
                <c:ptCount val="7"/>
                <c:pt idx="0">
                  <c:v>24155113.377192985</c:v>
                </c:pt>
                <c:pt idx="1">
                  <c:v>24090211.482456144</c:v>
                </c:pt>
                <c:pt idx="2">
                  <c:v>25789644.778508775</c:v>
                </c:pt>
                <c:pt idx="3">
                  <c:v>27346293.859649122</c:v>
                </c:pt>
                <c:pt idx="4">
                  <c:v>30671343.695175443</c:v>
                </c:pt>
                <c:pt idx="5">
                  <c:v>33782224.800438598</c:v>
                </c:pt>
                <c:pt idx="6">
                  <c:v>39061934.210526302</c:v>
                </c:pt>
              </c:numCache>
            </c:numRef>
          </c:val>
        </c:ser>
        <c:axId val="95986048"/>
        <c:axId val="95987584"/>
      </c:barChart>
      <c:catAx>
        <c:axId val="95986048"/>
        <c:scaling>
          <c:orientation val="minMax"/>
        </c:scaling>
        <c:axPos val="b"/>
        <c:tickLblPos val="nextTo"/>
        <c:crossAx val="95987584"/>
        <c:crosses val="autoZero"/>
        <c:auto val="1"/>
        <c:lblAlgn val="ctr"/>
        <c:lblOffset val="100"/>
      </c:catAx>
      <c:valAx>
        <c:axId val="95987584"/>
        <c:scaling>
          <c:orientation val="minMax"/>
        </c:scaling>
        <c:delete val="1"/>
        <c:axPos val="l"/>
        <c:numFmt formatCode="#,##0" sourceLinked="1"/>
        <c:tickLblPos val="none"/>
        <c:crossAx val="95986048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1426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 Florea</dc:creator>
  <cp:lastModifiedBy>mirela.macra</cp:lastModifiedBy>
  <cp:revision>2</cp:revision>
  <cp:lastPrinted>2017-11-23T07:08:00Z</cp:lastPrinted>
  <dcterms:created xsi:type="dcterms:W3CDTF">2017-11-23T11:49:00Z</dcterms:created>
  <dcterms:modified xsi:type="dcterms:W3CDTF">2017-11-23T11:49:00Z</dcterms:modified>
</cp:coreProperties>
</file>